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915" w:rsidRDefault="00045915" w:rsidP="00045915">
      <w:pPr>
        <w:widowControl w:val="0"/>
        <w:spacing w:after="0" w:line="240" w:lineRule="auto"/>
        <w:jc w:val="center"/>
        <w:rPr>
          <w:rFonts w:ascii="Times New Roman" w:eastAsia="Times New Roman" w:hAnsi="Times New Roman" w:cs="Times New Roman"/>
          <w:sz w:val="21"/>
          <w:szCs w:val="21"/>
          <w:shd w:val="clear" w:color="auto" w:fill="FFFFFF"/>
          <w:lang w:val="en-GB"/>
        </w:rPr>
      </w:pPr>
    </w:p>
    <w:p w:rsidR="00045915" w:rsidRPr="00045915" w:rsidRDefault="00045915" w:rsidP="00045915">
      <w:pPr>
        <w:widowControl w:val="0"/>
        <w:spacing w:after="0" w:line="240" w:lineRule="auto"/>
        <w:jc w:val="center"/>
        <w:rPr>
          <w:rFonts w:ascii="Times New Roman" w:eastAsia="Times New Roman" w:hAnsi="Times New Roman" w:cs="Times New Roman"/>
          <w:sz w:val="21"/>
          <w:szCs w:val="21"/>
          <w:shd w:val="clear" w:color="auto" w:fill="FFFFFF"/>
          <w:lang w:val="en-GB"/>
        </w:rPr>
      </w:pPr>
      <w:r w:rsidRPr="00045915">
        <w:rPr>
          <w:rFonts w:ascii="Times New Roman" w:eastAsia="Times New Roman" w:hAnsi="Times New Roman" w:cs="Times New Roman"/>
          <w:sz w:val="21"/>
          <w:szCs w:val="21"/>
          <w:shd w:val="clear" w:color="auto" w:fill="FFFFFF"/>
          <w:lang w:val="en-GB"/>
        </w:rPr>
        <w:t xml:space="preserve">Volume 1, March 2023 </w:t>
      </w:r>
    </w:p>
    <w:p w:rsidR="00045915" w:rsidRPr="00045915" w:rsidRDefault="00045915" w:rsidP="00045915">
      <w:pPr>
        <w:widowControl w:val="0"/>
        <w:spacing w:after="0" w:line="240" w:lineRule="auto"/>
        <w:jc w:val="center"/>
        <w:rPr>
          <w:rFonts w:ascii="Times New Roman" w:eastAsia="Times New Roman" w:hAnsi="Times New Roman" w:cs="Times New Roman"/>
          <w:sz w:val="21"/>
          <w:szCs w:val="21"/>
          <w:shd w:val="clear" w:color="auto" w:fill="FFFFFF"/>
          <w:lang w:val="en-GB"/>
        </w:rPr>
      </w:pPr>
      <w:hyperlink r:id="rId9" w:tooltip="Edit" w:history="1">
        <w:r w:rsidRPr="00045915">
          <w:rPr>
            <w:rFonts w:ascii="Times New Roman" w:eastAsia="Times New Roman" w:hAnsi="Times New Roman" w:cs="Times New Roman"/>
            <w:sz w:val="21"/>
            <w:szCs w:val="21"/>
            <w:lang w:val="en-GB"/>
          </w:rPr>
          <w:t>Proceedings of the 1st International Conference on Management and Small Medium Enterprise (ICMSME-2023)</w:t>
        </w:r>
      </w:hyperlink>
    </w:p>
    <w:p w:rsidR="00045915" w:rsidRDefault="00045915" w:rsidP="00702F46">
      <w:pPr>
        <w:jc w:val="center"/>
        <w:rPr>
          <w:rFonts w:asciiTheme="majorBidi" w:hAnsiTheme="majorBidi" w:cstheme="majorBidi"/>
          <w:b/>
          <w:bCs/>
          <w:sz w:val="28"/>
          <w:szCs w:val="24"/>
        </w:rPr>
      </w:pPr>
    </w:p>
    <w:p w:rsidR="00970A21" w:rsidRPr="00702F46" w:rsidRDefault="00A56D09" w:rsidP="00702F46">
      <w:pPr>
        <w:jc w:val="center"/>
        <w:rPr>
          <w:rFonts w:asciiTheme="majorBidi" w:hAnsiTheme="majorBidi" w:cstheme="majorBidi"/>
          <w:i/>
          <w:iCs/>
          <w:sz w:val="28"/>
          <w:szCs w:val="24"/>
          <w:lang w:val="id-ID"/>
        </w:rPr>
      </w:pPr>
      <w:r w:rsidRPr="00EB7D09">
        <w:rPr>
          <w:rFonts w:asciiTheme="majorBidi" w:hAnsiTheme="majorBidi" w:cstheme="majorBidi"/>
          <w:b/>
          <w:bCs/>
          <w:sz w:val="28"/>
          <w:szCs w:val="24"/>
        </w:rPr>
        <w:t>The Effect of Tax Avoidance on External Funding i</w:t>
      </w:r>
      <w:r w:rsidR="0053570C" w:rsidRPr="00EB7D09">
        <w:rPr>
          <w:rFonts w:asciiTheme="majorBidi" w:hAnsiTheme="majorBidi" w:cstheme="majorBidi"/>
          <w:b/>
          <w:bCs/>
          <w:sz w:val="28"/>
          <w:szCs w:val="24"/>
        </w:rPr>
        <w:t>n Indonesia</w:t>
      </w:r>
      <w:r w:rsidR="00953D93" w:rsidRPr="00EB7D09">
        <w:rPr>
          <w:rFonts w:asciiTheme="majorBidi" w:hAnsiTheme="majorBidi" w:cstheme="majorBidi"/>
          <w:b/>
          <w:bCs/>
          <w:sz w:val="28"/>
          <w:szCs w:val="24"/>
        </w:rPr>
        <w:t>n</w:t>
      </w:r>
      <w:r w:rsidR="0053570C" w:rsidRPr="00EB7D09">
        <w:rPr>
          <w:rFonts w:asciiTheme="majorBidi" w:hAnsiTheme="majorBidi" w:cstheme="majorBidi"/>
          <w:b/>
          <w:bCs/>
          <w:sz w:val="28"/>
          <w:szCs w:val="24"/>
        </w:rPr>
        <w:t xml:space="preserve"> Stock Exchange (Study Case on Manufacturing Companies)</w:t>
      </w:r>
    </w:p>
    <w:p w:rsidR="00A56D09" w:rsidRPr="00EB7D09" w:rsidRDefault="000C6CF1" w:rsidP="00970A21">
      <w:pPr>
        <w:spacing w:after="0"/>
        <w:jc w:val="center"/>
        <w:rPr>
          <w:rFonts w:asciiTheme="majorBidi" w:hAnsiTheme="majorBidi" w:cstheme="majorBidi"/>
          <w:b/>
          <w:bCs/>
          <w:i/>
          <w:vertAlign w:val="superscript"/>
          <w:lang w:val="id-ID"/>
        </w:rPr>
      </w:pPr>
      <w:r w:rsidRPr="00EB7D09">
        <w:rPr>
          <w:rFonts w:asciiTheme="majorBidi" w:hAnsiTheme="majorBidi" w:cstheme="majorBidi"/>
          <w:b/>
          <w:bCs/>
          <w:i/>
          <w:sz w:val="24"/>
          <w:szCs w:val="24"/>
        </w:rPr>
        <w:t>Anisa</w:t>
      </w:r>
      <w:r w:rsidRPr="00EB7D09">
        <w:rPr>
          <w:rFonts w:asciiTheme="majorBidi" w:hAnsiTheme="majorBidi" w:cstheme="majorBidi"/>
          <w:b/>
          <w:bCs/>
          <w:i/>
          <w:sz w:val="24"/>
          <w:szCs w:val="24"/>
          <w:vertAlign w:val="superscript"/>
          <w:lang w:val="id-ID"/>
        </w:rPr>
        <w:t>a</w:t>
      </w:r>
      <w:r w:rsidRPr="00EB7D09">
        <w:rPr>
          <w:rFonts w:asciiTheme="majorBidi" w:hAnsiTheme="majorBidi" w:cstheme="majorBidi"/>
          <w:b/>
          <w:bCs/>
          <w:i/>
          <w:sz w:val="24"/>
          <w:szCs w:val="24"/>
        </w:rPr>
        <w:t xml:space="preserve">, </w:t>
      </w:r>
      <w:proofErr w:type="spellStart"/>
      <w:r w:rsidRPr="00EB7D09">
        <w:rPr>
          <w:rFonts w:asciiTheme="majorBidi" w:hAnsiTheme="majorBidi" w:cstheme="majorBidi"/>
          <w:b/>
          <w:bCs/>
          <w:i/>
          <w:sz w:val="24"/>
          <w:szCs w:val="24"/>
        </w:rPr>
        <w:t>Agusdiwana</w:t>
      </w:r>
      <w:proofErr w:type="spellEnd"/>
      <w:r w:rsidRPr="00EB7D09">
        <w:rPr>
          <w:rFonts w:asciiTheme="majorBidi" w:hAnsiTheme="majorBidi" w:cstheme="majorBidi"/>
          <w:b/>
          <w:bCs/>
          <w:i/>
          <w:sz w:val="24"/>
          <w:szCs w:val="24"/>
        </w:rPr>
        <w:t xml:space="preserve"> </w:t>
      </w:r>
      <w:proofErr w:type="spellStart"/>
      <w:r w:rsidRPr="00EB7D09">
        <w:rPr>
          <w:rFonts w:asciiTheme="majorBidi" w:hAnsiTheme="majorBidi" w:cstheme="majorBidi"/>
          <w:b/>
          <w:bCs/>
          <w:i/>
          <w:sz w:val="24"/>
          <w:szCs w:val="24"/>
        </w:rPr>
        <w:t>Suarni</w:t>
      </w:r>
      <w:proofErr w:type="spellEnd"/>
      <w:r w:rsidRPr="00EB7D09">
        <w:rPr>
          <w:rFonts w:asciiTheme="majorBidi" w:hAnsiTheme="majorBidi" w:cstheme="majorBidi"/>
          <w:b/>
          <w:bCs/>
          <w:i/>
          <w:sz w:val="24"/>
          <w:szCs w:val="24"/>
          <w:vertAlign w:val="superscript"/>
          <w:lang w:val="id-ID"/>
        </w:rPr>
        <w:t>b</w:t>
      </w:r>
      <w:r w:rsidRPr="00EB7D09">
        <w:rPr>
          <w:rFonts w:asciiTheme="majorBidi" w:hAnsiTheme="majorBidi" w:cstheme="majorBidi"/>
          <w:b/>
          <w:bCs/>
          <w:i/>
          <w:sz w:val="24"/>
          <w:szCs w:val="24"/>
        </w:rPr>
        <w:t xml:space="preserve">, </w:t>
      </w:r>
      <w:proofErr w:type="spellStart"/>
      <w:r w:rsidRPr="00EB7D09">
        <w:rPr>
          <w:rFonts w:asciiTheme="majorBidi" w:hAnsiTheme="majorBidi" w:cstheme="majorBidi"/>
          <w:b/>
          <w:bCs/>
          <w:i/>
          <w:sz w:val="24"/>
          <w:szCs w:val="24"/>
        </w:rPr>
        <w:t>Rini</w:t>
      </w:r>
      <w:proofErr w:type="spellEnd"/>
      <w:r w:rsidRPr="00EB7D09">
        <w:rPr>
          <w:rFonts w:asciiTheme="majorBidi" w:hAnsiTheme="majorBidi" w:cstheme="majorBidi"/>
          <w:b/>
          <w:bCs/>
          <w:i/>
          <w:sz w:val="24"/>
          <w:szCs w:val="24"/>
        </w:rPr>
        <w:t xml:space="preserve"> </w:t>
      </w:r>
      <w:proofErr w:type="spellStart"/>
      <w:r w:rsidRPr="00EB7D09">
        <w:rPr>
          <w:rFonts w:asciiTheme="majorBidi" w:hAnsiTheme="majorBidi" w:cstheme="majorBidi"/>
          <w:b/>
          <w:bCs/>
          <w:i/>
          <w:sz w:val="24"/>
          <w:szCs w:val="24"/>
        </w:rPr>
        <w:t>Sulistiyanti</w:t>
      </w:r>
      <w:proofErr w:type="spellEnd"/>
      <w:r w:rsidRPr="00EB7D09">
        <w:rPr>
          <w:rFonts w:asciiTheme="majorBidi" w:hAnsiTheme="majorBidi" w:cstheme="majorBidi"/>
          <w:b/>
          <w:bCs/>
          <w:i/>
          <w:sz w:val="24"/>
          <w:szCs w:val="24"/>
          <w:vertAlign w:val="superscript"/>
          <w:lang w:val="id-ID"/>
        </w:rPr>
        <w:t>c</w:t>
      </w:r>
    </w:p>
    <w:p w:rsidR="00970A21" w:rsidRPr="00EB7D09" w:rsidRDefault="00970A21" w:rsidP="00970A21">
      <w:pPr>
        <w:spacing w:after="0" w:line="240" w:lineRule="auto"/>
        <w:jc w:val="center"/>
        <w:rPr>
          <w:rFonts w:asciiTheme="majorBidi" w:hAnsiTheme="majorBidi" w:cstheme="majorBidi"/>
          <w:i/>
          <w:sz w:val="20"/>
          <w:szCs w:val="20"/>
          <w:lang w:val="id-ID"/>
        </w:rPr>
      </w:pPr>
      <w:r w:rsidRPr="00EB7D09">
        <w:rPr>
          <w:rFonts w:asciiTheme="majorBidi" w:hAnsiTheme="majorBidi" w:cstheme="majorBidi"/>
          <w:i/>
          <w:sz w:val="20"/>
          <w:szCs w:val="20"/>
          <w:vertAlign w:val="superscript"/>
          <w:lang w:val="id-ID"/>
        </w:rPr>
        <w:t>a</w:t>
      </w:r>
      <w:r w:rsidRPr="00EB7D09">
        <w:rPr>
          <w:rFonts w:asciiTheme="majorBidi" w:hAnsiTheme="majorBidi" w:cstheme="majorBidi"/>
          <w:i/>
          <w:sz w:val="20"/>
          <w:szCs w:val="20"/>
          <w:lang w:val="id-ID"/>
        </w:rPr>
        <w:t>Makassar Muhammadiyah University, Indonesia</w:t>
      </w:r>
    </w:p>
    <w:p w:rsidR="00970A21" w:rsidRPr="00EB7D09" w:rsidRDefault="00970A21" w:rsidP="00970A21">
      <w:pPr>
        <w:spacing w:after="0" w:line="240" w:lineRule="auto"/>
        <w:jc w:val="center"/>
        <w:rPr>
          <w:rFonts w:asciiTheme="majorBidi" w:hAnsiTheme="majorBidi" w:cstheme="majorBidi"/>
          <w:i/>
          <w:sz w:val="20"/>
          <w:szCs w:val="20"/>
          <w:lang w:val="id-ID"/>
        </w:rPr>
      </w:pPr>
      <w:r w:rsidRPr="00EB7D09">
        <w:rPr>
          <w:rFonts w:asciiTheme="majorBidi" w:hAnsiTheme="majorBidi" w:cstheme="majorBidi"/>
          <w:i/>
          <w:sz w:val="20"/>
          <w:szCs w:val="20"/>
          <w:vertAlign w:val="superscript"/>
          <w:lang w:val="id-ID"/>
        </w:rPr>
        <w:t>b</w:t>
      </w:r>
      <w:r w:rsidRPr="00EB7D09">
        <w:rPr>
          <w:rFonts w:asciiTheme="majorBidi" w:hAnsiTheme="majorBidi" w:cstheme="majorBidi"/>
          <w:i/>
          <w:sz w:val="20"/>
          <w:szCs w:val="20"/>
          <w:lang w:val="id-ID"/>
        </w:rPr>
        <w:t>Makassar Muhammadiyah University, Indonesia</w:t>
      </w:r>
    </w:p>
    <w:p w:rsidR="00970A21" w:rsidRPr="00EB7D09" w:rsidRDefault="00970A21" w:rsidP="00970A21">
      <w:pPr>
        <w:spacing w:after="0" w:line="240" w:lineRule="auto"/>
        <w:jc w:val="center"/>
        <w:rPr>
          <w:rFonts w:asciiTheme="majorBidi" w:hAnsiTheme="majorBidi" w:cstheme="majorBidi"/>
          <w:i/>
          <w:sz w:val="20"/>
          <w:szCs w:val="20"/>
          <w:lang w:val="id-ID"/>
        </w:rPr>
      </w:pPr>
      <w:r w:rsidRPr="00EB7D09">
        <w:rPr>
          <w:rFonts w:asciiTheme="majorBidi" w:hAnsiTheme="majorBidi" w:cstheme="majorBidi"/>
          <w:i/>
          <w:sz w:val="20"/>
          <w:szCs w:val="20"/>
          <w:vertAlign w:val="superscript"/>
          <w:lang w:val="id-ID"/>
        </w:rPr>
        <w:t>c</w:t>
      </w:r>
      <w:r w:rsidRPr="00EB7D09">
        <w:rPr>
          <w:rFonts w:asciiTheme="majorBidi" w:hAnsiTheme="majorBidi" w:cstheme="majorBidi"/>
          <w:i/>
          <w:sz w:val="20"/>
          <w:szCs w:val="20"/>
          <w:lang w:val="id-ID"/>
        </w:rPr>
        <w:t>Makassar Muhammadiyah University, Indonesia</w:t>
      </w:r>
    </w:p>
    <w:p w:rsidR="00970A21" w:rsidRPr="00970A21" w:rsidRDefault="00970A21" w:rsidP="00970A21">
      <w:pPr>
        <w:spacing w:after="0" w:line="240" w:lineRule="auto"/>
        <w:jc w:val="center"/>
        <w:rPr>
          <w:rFonts w:asciiTheme="majorBidi" w:hAnsiTheme="majorBidi" w:cstheme="majorBidi"/>
          <w:sz w:val="20"/>
          <w:szCs w:val="20"/>
          <w:lang w:val="id-ID"/>
        </w:rPr>
      </w:pPr>
      <w:r w:rsidRPr="00970A21">
        <w:rPr>
          <w:rFonts w:asciiTheme="majorBidi" w:hAnsiTheme="majorBidi" w:cstheme="majorBidi"/>
          <w:i/>
          <w:color w:val="000000"/>
          <w:sz w:val="20"/>
          <w:szCs w:val="20"/>
        </w:rPr>
        <w:t xml:space="preserve">* Corresponding author e-mail: </w:t>
      </w:r>
      <w:r w:rsidR="00EB7D09">
        <w:rPr>
          <w:rFonts w:asciiTheme="majorBidi" w:hAnsiTheme="majorBidi" w:cstheme="majorBidi"/>
          <w:i/>
          <w:color w:val="000000"/>
          <w:sz w:val="20"/>
          <w:szCs w:val="20"/>
        </w:rPr>
        <w:t>anisa17021999@gmail.com</w:t>
      </w:r>
    </w:p>
    <w:p w:rsidR="00A56D09" w:rsidRPr="00970A21" w:rsidRDefault="00A56D09" w:rsidP="00970A21">
      <w:pPr>
        <w:rPr>
          <w:rFonts w:asciiTheme="majorBidi" w:hAnsiTheme="majorBidi" w:cstheme="majorBidi"/>
          <w:vertAlign w:val="superscript"/>
          <w:lang w:val="id-ID"/>
        </w:rPr>
      </w:pPr>
    </w:p>
    <w:p w:rsidR="00EB7D09" w:rsidRPr="00EB7D09" w:rsidRDefault="00EB7D09" w:rsidP="00EB7D09">
      <w:pPr>
        <w:spacing w:after="90"/>
        <w:ind w:right="7"/>
        <w:jc w:val="center"/>
      </w:pPr>
      <w:r w:rsidRPr="00EB7D09">
        <w:rPr>
          <w:rFonts w:ascii="Times New Roman" w:eastAsia="Times New Roman" w:hAnsi="Times New Roman" w:cs="Times New Roman"/>
          <w:sz w:val="24"/>
        </w:rPr>
        <w:t>A B S T R A C T</w:t>
      </w:r>
    </w:p>
    <w:p w:rsidR="00A56D09" w:rsidRPr="00A56D09" w:rsidRDefault="00A56D09" w:rsidP="00005130">
      <w:pPr>
        <w:spacing w:after="0" w:line="240" w:lineRule="auto"/>
        <w:jc w:val="both"/>
        <w:rPr>
          <w:rFonts w:asciiTheme="majorBidi" w:hAnsiTheme="majorBidi" w:cstheme="majorBidi"/>
          <w:b/>
          <w:bCs/>
          <w:i/>
          <w:iCs/>
        </w:rPr>
      </w:pPr>
      <w:r w:rsidRPr="00A56D09">
        <w:rPr>
          <w:rFonts w:asciiTheme="majorBidi" w:hAnsiTheme="majorBidi" w:cstheme="majorBidi"/>
          <w:b/>
          <w:bCs/>
          <w:i/>
          <w:iCs/>
        </w:rPr>
        <w:t xml:space="preserve">This study aims to determine the effect of tax avoidance on external funding of food and beverage sub-sector companies listed on the Indonesia Stock Exchange (IDX). This research is a quantitative research with data collection techniques of data documentation of financial statements of manufacturing companies in the food and beverage sub-sector listed on the Indonesia Stock Exchange (IDX). 2019-2021 period. The population in this study amounted to 42 companies and the samples taken were 33 manufacturing companies in the food and beverage sub-sector listed on the Indonesia Stock Exchange (IDX). 2019-2021 period. The sampling technique used is purposive sampling technique. The analytical method used is simple linear regression analysis. The results showed that the value of Tax Avoidance T = -1.316, then the obtained </w:t>
      </w:r>
      <w:proofErr w:type="spellStart"/>
      <w:r w:rsidRPr="00A56D09">
        <w:rPr>
          <w:rFonts w:asciiTheme="majorBidi" w:hAnsiTheme="majorBidi" w:cstheme="majorBidi"/>
          <w:b/>
          <w:bCs/>
          <w:i/>
          <w:iCs/>
        </w:rPr>
        <w:t>Tcount</w:t>
      </w:r>
      <w:proofErr w:type="spellEnd"/>
      <w:r w:rsidRPr="00A56D09">
        <w:rPr>
          <w:rFonts w:asciiTheme="majorBidi" w:hAnsiTheme="majorBidi" w:cstheme="majorBidi"/>
          <w:b/>
          <w:bCs/>
          <w:i/>
          <w:iCs/>
        </w:rPr>
        <w:t xml:space="preserve"> &lt; </w:t>
      </w:r>
      <w:proofErr w:type="spellStart"/>
      <w:r w:rsidRPr="00A56D09">
        <w:rPr>
          <w:rFonts w:asciiTheme="majorBidi" w:hAnsiTheme="majorBidi" w:cstheme="majorBidi"/>
          <w:b/>
          <w:bCs/>
          <w:i/>
          <w:iCs/>
        </w:rPr>
        <w:t>Ttable</w:t>
      </w:r>
      <w:proofErr w:type="spellEnd"/>
      <w:r w:rsidRPr="00A56D09">
        <w:rPr>
          <w:rFonts w:asciiTheme="majorBidi" w:hAnsiTheme="majorBidi" w:cstheme="majorBidi"/>
          <w:b/>
          <w:bCs/>
          <w:i/>
          <w:iCs/>
        </w:rPr>
        <w:t xml:space="preserve"> or -1.316&lt;1,</w:t>
      </w:r>
    </w:p>
    <w:p w:rsidR="00A56D09" w:rsidRPr="00A56D09" w:rsidRDefault="00A56D09" w:rsidP="00970A21">
      <w:pPr>
        <w:spacing w:after="0"/>
        <w:jc w:val="both"/>
        <w:rPr>
          <w:rFonts w:asciiTheme="majorBidi" w:hAnsiTheme="majorBidi" w:cstheme="majorBidi"/>
          <w:b/>
          <w:bCs/>
          <w:i/>
          <w:iCs/>
        </w:rPr>
      </w:pPr>
    </w:p>
    <w:p w:rsidR="00A56D09" w:rsidRDefault="00A56D09" w:rsidP="00970A21">
      <w:pPr>
        <w:jc w:val="both"/>
        <w:rPr>
          <w:rFonts w:asciiTheme="majorBidi" w:hAnsiTheme="majorBidi" w:cstheme="majorBidi"/>
          <w:b/>
          <w:bCs/>
          <w:i/>
          <w:iCs/>
          <w:lang w:val="id-ID"/>
        </w:rPr>
      </w:pPr>
      <w:r w:rsidRPr="00A56D09">
        <w:rPr>
          <w:rFonts w:asciiTheme="majorBidi" w:hAnsiTheme="majorBidi" w:cstheme="majorBidi"/>
          <w:b/>
          <w:bCs/>
          <w:i/>
          <w:iCs/>
        </w:rPr>
        <w:t>Keywords: Tax Avoidance, External Funding</w:t>
      </w: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045915" w:rsidRDefault="00045915" w:rsidP="00BC33B7">
      <w:pPr>
        <w:spacing w:after="0"/>
        <w:jc w:val="both"/>
        <w:rPr>
          <w:rFonts w:asciiTheme="majorBidi" w:hAnsiTheme="majorBidi" w:cstheme="majorBidi"/>
          <w:b/>
          <w:color w:val="000000"/>
          <w:sz w:val="24"/>
          <w:szCs w:val="24"/>
          <w:lang w:val="id-ID"/>
        </w:rPr>
      </w:pPr>
    </w:p>
    <w:p w:rsidR="009B11AC" w:rsidRPr="000C6CF1" w:rsidRDefault="000C6CF1" w:rsidP="00BC33B7">
      <w:pPr>
        <w:spacing w:after="0"/>
        <w:jc w:val="both"/>
        <w:rPr>
          <w:rFonts w:asciiTheme="majorBidi" w:hAnsiTheme="majorBidi" w:cstheme="majorBidi"/>
          <w:b/>
          <w:color w:val="000000"/>
          <w:sz w:val="24"/>
          <w:szCs w:val="24"/>
          <w:lang w:val="id-ID"/>
        </w:rPr>
      </w:pPr>
      <w:r>
        <w:rPr>
          <w:rFonts w:asciiTheme="majorBidi" w:hAnsiTheme="majorBidi" w:cstheme="majorBidi"/>
          <w:b/>
          <w:color w:val="000000"/>
          <w:sz w:val="24"/>
          <w:szCs w:val="24"/>
          <w:lang w:val="id-ID"/>
        </w:rPr>
        <w:lastRenderedPageBreak/>
        <w:t>INTRODUCTION</w:t>
      </w:r>
    </w:p>
    <w:p w:rsidR="00BC33B7" w:rsidRPr="00EB7D09" w:rsidRDefault="00D83EF7" w:rsidP="00EB7D09">
      <w:pPr>
        <w:spacing w:before="120" w:after="0"/>
        <w:jc w:val="both"/>
        <w:rPr>
          <w:rFonts w:asciiTheme="majorBidi" w:eastAsia="Arial" w:hAnsiTheme="majorBidi" w:cstheme="majorBidi"/>
          <w:color w:val="000000"/>
          <w:sz w:val="24"/>
          <w:lang w:val="id-ID"/>
        </w:rPr>
      </w:pPr>
      <w:r w:rsidRPr="00EB7D09">
        <w:rPr>
          <w:rFonts w:asciiTheme="majorBidi" w:eastAsia="Arial" w:hAnsiTheme="majorBidi" w:cstheme="majorBidi"/>
          <w:color w:val="000000"/>
          <w:sz w:val="24"/>
        </w:rPr>
        <w:t xml:space="preserve">One of Indonesia's largest state revenues is from the tax sector. As UU KUP Article 1 UU no. 28 of 2007, explains that taxes and other levies which are coercive in nature are regulated in law, in the context of state needs and people's welfare. The largest state revenue comes from tax sources, namely companies. The company is obliged to pay taxes according to the rate determined by the </w:t>
      </w:r>
      <w:proofErr w:type="spellStart"/>
      <w:r w:rsidRPr="00EB7D09">
        <w:rPr>
          <w:rFonts w:asciiTheme="majorBidi" w:eastAsia="Arial" w:hAnsiTheme="majorBidi" w:cstheme="majorBidi"/>
          <w:color w:val="000000"/>
          <w:sz w:val="24"/>
        </w:rPr>
        <w:t>Directorate</w:t>
      </w:r>
      <w:r w:rsidRPr="00EB7D09">
        <w:rPr>
          <w:rFonts w:asciiTheme="majorBidi" w:eastAsia="Arial" w:hAnsiTheme="majorBidi" w:cstheme="majorBidi"/>
          <w:sz w:val="24"/>
        </w:rPr>
        <w:t>General</w:t>
      </w:r>
      <w:r w:rsidRPr="00EB7D09">
        <w:rPr>
          <w:rFonts w:asciiTheme="majorBidi" w:eastAsia="Arial" w:hAnsiTheme="majorBidi" w:cstheme="majorBidi"/>
          <w:color w:val="000000"/>
          <w:sz w:val="24"/>
        </w:rPr>
        <w:t>Taxes</w:t>
      </w:r>
      <w:proofErr w:type="spellEnd"/>
      <w:r w:rsidRPr="00EB7D09">
        <w:rPr>
          <w:rFonts w:asciiTheme="majorBidi" w:eastAsia="Arial" w:hAnsiTheme="majorBidi" w:cstheme="majorBidi"/>
          <w:color w:val="000000"/>
          <w:sz w:val="24"/>
        </w:rPr>
        <w:t>, which are used to build the country.</w:t>
      </w:r>
    </w:p>
    <w:p w:rsidR="00BC33B7" w:rsidRPr="00EB7D09" w:rsidRDefault="00D83EF7" w:rsidP="00EB7D09">
      <w:pPr>
        <w:spacing w:before="120" w:after="0"/>
        <w:jc w:val="both"/>
        <w:rPr>
          <w:rFonts w:asciiTheme="majorBidi" w:eastAsia="Arial" w:hAnsiTheme="majorBidi" w:cstheme="majorBidi"/>
          <w:color w:val="000000"/>
          <w:sz w:val="24"/>
          <w:lang w:val="id-ID"/>
        </w:rPr>
      </w:pPr>
      <w:r w:rsidRPr="00EB7D09">
        <w:rPr>
          <w:rFonts w:asciiTheme="majorBidi" w:eastAsia="Arial" w:hAnsiTheme="majorBidi" w:cstheme="majorBidi"/>
          <w:color w:val="000000"/>
          <w:sz w:val="24"/>
        </w:rPr>
        <w:t>Tax is the main source of input for the state, while for companies tax is a cost that can reduce net profit before tax. Companies want savings in paying taxes, while the interests of the tax authorities expect that the amount of tax earned is large and regular. Various methods are used by taxpayer companies, both by making tax savings according to tax regulations and violating tax policies.</w:t>
      </w:r>
    </w:p>
    <w:p w:rsidR="00EF62D4" w:rsidRPr="00EB7D09" w:rsidRDefault="00D83EF7" w:rsidP="00EB7D09">
      <w:pPr>
        <w:spacing w:before="120" w:after="0"/>
        <w:jc w:val="both"/>
        <w:rPr>
          <w:rFonts w:asciiTheme="majorBidi" w:eastAsia="Arial" w:hAnsiTheme="majorBidi" w:cstheme="majorBidi"/>
          <w:color w:val="000000"/>
          <w:sz w:val="24"/>
        </w:rPr>
      </w:pPr>
      <w:r w:rsidRPr="00EB7D09">
        <w:rPr>
          <w:rFonts w:asciiTheme="majorBidi" w:eastAsia="Arial" w:hAnsiTheme="majorBidi" w:cstheme="majorBidi"/>
          <w:color w:val="000000"/>
          <w:sz w:val="24"/>
        </w:rPr>
        <w:t>One of the ways companies choose to save on taxes is through tax management. The form of tax management that is generally carried out by companies is tax avoidance. Tax avoidance is a tax saving strategy without violating tax policies. In implementing this strategy, the company deliberately uses the weaknesses of tax policies, in addition to determining burdens that can reduce the amount of tax. However, not all companies choose tax avoidance measures, because this has risks and results in higher tax costs, as well as damaging the company's image, so that the continuity of the company can also be disrupted (</w:t>
      </w:r>
      <w:proofErr w:type="spellStart"/>
      <w:r w:rsidRPr="00EB7D09">
        <w:rPr>
          <w:rFonts w:asciiTheme="majorBidi" w:eastAsia="Arial" w:hAnsiTheme="majorBidi" w:cstheme="majorBidi"/>
          <w:color w:val="000000"/>
          <w:sz w:val="24"/>
        </w:rPr>
        <w:t>Ritonga</w:t>
      </w:r>
      <w:proofErr w:type="spellEnd"/>
      <w:r w:rsidRPr="00EB7D09">
        <w:rPr>
          <w:rFonts w:asciiTheme="majorBidi" w:eastAsia="Arial" w:hAnsiTheme="majorBidi" w:cstheme="majorBidi"/>
          <w:color w:val="000000"/>
          <w:sz w:val="24"/>
        </w:rPr>
        <w:t>, 2020).</w:t>
      </w:r>
    </w:p>
    <w:p w:rsidR="00EF62D4" w:rsidRPr="00EB7D09" w:rsidRDefault="00D83EF7" w:rsidP="00EB7D09">
      <w:pPr>
        <w:spacing w:before="120" w:after="0"/>
        <w:jc w:val="both"/>
        <w:rPr>
          <w:rFonts w:asciiTheme="majorBidi" w:eastAsia="Arial" w:hAnsiTheme="majorBidi" w:cstheme="majorBidi"/>
          <w:color w:val="000000"/>
          <w:sz w:val="24"/>
        </w:rPr>
      </w:pPr>
      <w:r w:rsidRPr="00EB7D09">
        <w:rPr>
          <w:rFonts w:asciiTheme="majorBidi" w:eastAsia="Arial" w:hAnsiTheme="majorBidi" w:cstheme="majorBidi"/>
          <w:color w:val="000000"/>
          <w:sz w:val="24"/>
        </w:rPr>
        <w:t xml:space="preserve">Companies in Indonesia that carry out tax avoidance actions have an impact on decreasing tax revenue achievements. The more companies avoid taxes, the lower the percentage of achieving tax revenue. Tax is a burden on the company because it can reduce the company's net profit. So that companies practice tax avoidance in order to reduce the cost of paying taxes. Companies use loopholes in tax regulations as a form of legal use </w:t>
      </w:r>
      <w:proofErr w:type="spellStart"/>
      <w:r w:rsidRPr="00EB7D09">
        <w:rPr>
          <w:rFonts w:asciiTheme="majorBidi" w:eastAsia="Arial" w:hAnsiTheme="majorBidi" w:cstheme="majorBidi"/>
          <w:color w:val="000000"/>
          <w:sz w:val="24"/>
        </w:rPr>
        <w:t>practice</w:t>
      </w:r>
      <w:r w:rsidRPr="00EB7D09">
        <w:rPr>
          <w:rFonts w:asciiTheme="majorBidi" w:eastAsia="Arial" w:hAnsiTheme="majorBidi" w:cstheme="majorBidi"/>
          <w:sz w:val="24"/>
        </w:rPr>
        <w:t>minimize</w:t>
      </w:r>
      <w:r w:rsidRPr="00EB7D09">
        <w:rPr>
          <w:rFonts w:asciiTheme="majorBidi" w:eastAsia="Arial" w:hAnsiTheme="majorBidi" w:cstheme="majorBidi"/>
          <w:color w:val="000000"/>
          <w:sz w:val="24"/>
        </w:rPr>
        <w:t>tax</w:t>
      </w:r>
      <w:proofErr w:type="spellEnd"/>
      <w:r w:rsidRPr="00EB7D09">
        <w:rPr>
          <w:rFonts w:asciiTheme="majorBidi" w:eastAsia="Arial" w:hAnsiTheme="majorBidi" w:cstheme="majorBidi"/>
          <w:color w:val="000000"/>
          <w:sz w:val="24"/>
        </w:rPr>
        <w:t xml:space="preserve"> payable. (</w:t>
      </w:r>
      <w:proofErr w:type="spellStart"/>
      <w:r w:rsidRPr="00EB7D09">
        <w:rPr>
          <w:rFonts w:asciiTheme="majorBidi" w:eastAsia="Arial" w:hAnsiTheme="majorBidi" w:cstheme="majorBidi"/>
          <w:color w:val="000000"/>
          <w:sz w:val="24"/>
        </w:rPr>
        <w:t>Yulyanah</w:t>
      </w:r>
      <w:proofErr w:type="spellEnd"/>
      <w:r w:rsidRPr="00EB7D09">
        <w:rPr>
          <w:rFonts w:asciiTheme="majorBidi" w:eastAsia="Arial" w:hAnsiTheme="majorBidi" w:cstheme="majorBidi"/>
          <w:color w:val="000000"/>
          <w:sz w:val="24"/>
        </w:rPr>
        <w:t xml:space="preserve"> &amp; </w:t>
      </w:r>
      <w:proofErr w:type="spellStart"/>
      <w:r w:rsidRPr="00EB7D09">
        <w:rPr>
          <w:rFonts w:asciiTheme="majorBidi" w:eastAsia="Arial" w:hAnsiTheme="majorBidi" w:cstheme="majorBidi"/>
          <w:color w:val="000000"/>
          <w:sz w:val="24"/>
        </w:rPr>
        <w:t>Kusumastuti</w:t>
      </w:r>
      <w:proofErr w:type="spellEnd"/>
      <w:r w:rsidRPr="00EB7D09">
        <w:rPr>
          <w:rFonts w:asciiTheme="majorBidi" w:eastAsia="Arial" w:hAnsiTheme="majorBidi" w:cstheme="majorBidi"/>
          <w:color w:val="000000"/>
          <w:sz w:val="24"/>
        </w:rPr>
        <w:t>, 2019).</w:t>
      </w:r>
    </w:p>
    <w:p w:rsidR="00EF62D4" w:rsidRPr="00EB7D09" w:rsidRDefault="00D83EF7" w:rsidP="00EB7D09">
      <w:pPr>
        <w:spacing w:before="120" w:after="0"/>
        <w:jc w:val="both"/>
        <w:rPr>
          <w:rFonts w:asciiTheme="majorBidi" w:eastAsia="Arial" w:hAnsiTheme="majorBidi" w:cstheme="majorBidi"/>
          <w:color w:val="000000"/>
          <w:sz w:val="24"/>
        </w:rPr>
      </w:pPr>
      <w:r w:rsidRPr="00EB7D09">
        <w:rPr>
          <w:rFonts w:asciiTheme="majorBidi" w:eastAsia="Arial" w:hAnsiTheme="majorBidi" w:cstheme="majorBidi"/>
          <w:color w:val="000000"/>
          <w:sz w:val="24"/>
        </w:rPr>
        <w:t>Ernest R Mortenson stated that tax avoidance is related to the setting of activities in such a way as to reduce or even eliminate the tax burden by taking into account whether there are various tax consequences that occur (</w:t>
      </w:r>
      <w:proofErr w:type="spellStart"/>
      <w:r w:rsidRPr="00EB7D09">
        <w:rPr>
          <w:rFonts w:asciiTheme="majorBidi" w:eastAsia="Arial" w:hAnsiTheme="majorBidi" w:cstheme="majorBidi"/>
          <w:color w:val="000000"/>
          <w:sz w:val="24"/>
        </w:rPr>
        <w:t>Kurnia</w:t>
      </w:r>
      <w:proofErr w:type="spellEnd"/>
      <w:r w:rsidRPr="00EB7D09">
        <w:rPr>
          <w:rFonts w:asciiTheme="majorBidi" w:eastAsia="Arial" w:hAnsiTheme="majorBidi" w:cstheme="majorBidi"/>
          <w:color w:val="000000"/>
          <w:sz w:val="24"/>
        </w:rPr>
        <w:t>, 2010).</w:t>
      </w:r>
    </w:p>
    <w:p w:rsidR="00EF62D4" w:rsidRPr="00EB7D09" w:rsidRDefault="00EB7D09" w:rsidP="00EB7D09">
      <w:pPr>
        <w:spacing w:before="120" w:after="0"/>
        <w:jc w:val="both"/>
        <w:rPr>
          <w:rFonts w:asciiTheme="majorBidi" w:eastAsia="Arial" w:hAnsiTheme="majorBidi" w:cstheme="majorBidi"/>
          <w:color w:val="000000"/>
          <w:sz w:val="24"/>
        </w:rPr>
      </w:pPr>
      <w:r w:rsidRPr="00EB7D09">
        <w:rPr>
          <w:rFonts w:asciiTheme="majorBidi" w:eastAsia="Arial" w:hAnsiTheme="majorBidi" w:cstheme="majorBidi"/>
          <w:color w:val="000000"/>
          <w:sz w:val="24"/>
        </w:rPr>
        <w:t>T</w:t>
      </w:r>
      <w:r w:rsidR="00D83EF7" w:rsidRPr="00EB7D09">
        <w:rPr>
          <w:rFonts w:asciiTheme="majorBidi" w:eastAsia="Arial" w:hAnsiTheme="majorBidi" w:cstheme="majorBidi"/>
          <w:color w:val="000000"/>
          <w:sz w:val="24"/>
        </w:rPr>
        <w:t>ax avoidance</w:t>
      </w:r>
      <w:r w:rsidRPr="00EB7D09">
        <w:rPr>
          <w:rFonts w:asciiTheme="majorBidi" w:eastAsia="Arial" w:hAnsiTheme="majorBidi" w:cstheme="majorBidi"/>
          <w:i/>
          <w:color w:val="000000"/>
          <w:sz w:val="24"/>
        </w:rPr>
        <w:t xml:space="preserve"> </w:t>
      </w:r>
      <w:r w:rsidR="00D83EF7" w:rsidRPr="00EB7D09">
        <w:rPr>
          <w:rFonts w:asciiTheme="majorBidi" w:eastAsia="Arial" w:hAnsiTheme="majorBidi" w:cstheme="majorBidi"/>
          <w:color w:val="000000"/>
          <w:sz w:val="24"/>
        </w:rPr>
        <w:t xml:space="preserve">influenced </w:t>
      </w:r>
      <w:proofErr w:type="spellStart"/>
      <w:r w:rsidR="00D83EF7" w:rsidRPr="00EB7D09">
        <w:rPr>
          <w:rFonts w:asciiTheme="majorBidi" w:eastAsia="Arial" w:hAnsiTheme="majorBidi" w:cstheme="majorBidi"/>
          <w:color w:val="000000"/>
          <w:sz w:val="24"/>
        </w:rPr>
        <w:t>by</w:t>
      </w:r>
      <w:r w:rsidR="00D83EF7" w:rsidRPr="00EB7D09">
        <w:rPr>
          <w:rFonts w:asciiTheme="majorBidi" w:eastAsia="Arial" w:hAnsiTheme="majorBidi" w:cstheme="majorBidi"/>
          <w:sz w:val="24"/>
        </w:rPr>
        <w:t>various</w:t>
      </w:r>
      <w:r w:rsidR="00D83EF7" w:rsidRPr="00EB7D09">
        <w:rPr>
          <w:rFonts w:asciiTheme="majorBidi" w:eastAsia="Arial" w:hAnsiTheme="majorBidi" w:cstheme="majorBidi"/>
          <w:color w:val="000000"/>
          <w:sz w:val="24"/>
        </w:rPr>
        <w:t>factors</w:t>
      </w:r>
      <w:proofErr w:type="spellEnd"/>
      <w:r w:rsidR="00D83EF7" w:rsidRPr="00EB7D09">
        <w:rPr>
          <w:rFonts w:asciiTheme="majorBidi" w:eastAsia="Arial" w:hAnsiTheme="majorBidi" w:cstheme="majorBidi"/>
          <w:color w:val="000000"/>
          <w:sz w:val="24"/>
        </w:rPr>
        <w:t xml:space="preserve">, namely institutional ownership, profit levels, and debt levels. The level of profit is a measure of the performance of the company's management in managing its wealth as evidenced by the amount of profit created in a certain period. The level of debt is how much operational funding is funded by debt. The debt level shows the </w:t>
      </w:r>
      <w:proofErr w:type="spellStart"/>
      <w:r w:rsidR="00D83EF7" w:rsidRPr="00EB7D09">
        <w:rPr>
          <w:rFonts w:asciiTheme="majorBidi" w:eastAsia="Arial" w:hAnsiTheme="majorBidi" w:cstheme="majorBidi"/>
          <w:color w:val="000000"/>
          <w:sz w:val="24"/>
        </w:rPr>
        <w:t>level</w:t>
      </w:r>
      <w:r w:rsidR="00D83EF7" w:rsidRPr="00EB7D09">
        <w:rPr>
          <w:rFonts w:asciiTheme="majorBidi" w:eastAsia="Arial" w:hAnsiTheme="majorBidi" w:cstheme="majorBidi"/>
          <w:sz w:val="24"/>
        </w:rPr>
        <w:t>assets</w:t>
      </w:r>
      <w:r w:rsidR="00D83EF7" w:rsidRPr="00EB7D09">
        <w:rPr>
          <w:rFonts w:asciiTheme="majorBidi" w:eastAsia="Arial" w:hAnsiTheme="majorBidi" w:cstheme="majorBidi"/>
          <w:color w:val="000000"/>
          <w:sz w:val="24"/>
        </w:rPr>
        <w:t>funded</w:t>
      </w:r>
      <w:proofErr w:type="spellEnd"/>
      <w:r w:rsidR="00D83EF7" w:rsidRPr="00EB7D09">
        <w:rPr>
          <w:rFonts w:asciiTheme="majorBidi" w:eastAsia="Arial" w:hAnsiTheme="majorBidi" w:cstheme="majorBidi"/>
          <w:color w:val="000000"/>
          <w:sz w:val="24"/>
        </w:rPr>
        <w:t xml:space="preserve"> by corporate debt. In this case, the debt level is related to the amount of debt that the company uses to buy assets. Meanwhile, institutional ownership is shares owned by the government and institutions, for example foreign institutions, financial institutions, and legal entity institutions. Studies state that institutional ownership is a share asset exceeding 5%, but not as management ownership. (</w:t>
      </w:r>
      <w:proofErr w:type="spellStart"/>
      <w:r w:rsidR="00D83EF7" w:rsidRPr="00EB7D09">
        <w:rPr>
          <w:rFonts w:asciiTheme="majorBidi" w:eastAsia="Arial" w:hAnsiTheme="majorBidi" w:cstheme="majorBidi"/>
          <w:color w:val="000000"/>
          <w:sz w:val="24"/>
        </w:rPr>
        <w:t>Yulyanah</w:t>
      </w:r>
      <w:proofErr w:type="spellEnd"/>
      <w:r w:rsidR="00D83EF7" w:rsidRPr="00EB7D09">
        <w:rPr>
          <w:rFonts w:asciiTheme="majorBidi" w:eastAsia="Arial" w:hAnsiTheme="majorBidi" w:cstheme="majorBidi"/>
          <w:color w:val="000000"/>
          <w:sz w:val="24"/>
        </w:rPr>
        <w:t xml:space="preserve"> &amp; </w:t>
      </w:r>
      <w:proofErr w:type="spellStart"/>
      <w:r w:rsidR="00D83EF7" w:rsidRPr="00EB7D09">
        <w:rPr>
          <w:rFonts w:asciiTheme="majorBidi" w:eastAsia="Arial" w:hAnsiTheme="majorBidi" w:cstheme="majorBidi"/>
          <w:color w:val="000000"/>
          <w:sz w:val="24"/>
        </w:rPr>
        <w:t>Kusumastuti</w:t>
      </w:r>
      <w:proofErr w:type="spellEnd"/>
      <w:r w:rsidR="00D83EF7" w:rsidRPr="00EB7D09">
        <w:rPr>
          <w:rFonts w:asciiTheme="majorBidi" w:eastAsia="Arial" w:hAnsiTheme="majorBidi" w:cstheme="majorBidi"/>
          <w:color w:val="000000"/>
          <w:sz w:val="24"/>
        </w:rPr>
        <w:t>, 2019).</w:t>
      </w:r>
    </w:p>
    <w:p w:rsidR="00EF62D4" w:rsidRPr="00EB7D09" w:rsidRDefault="00D83EF7" w:rsidP="00EB7D09">
      <w:pPr>
        <w:spacing w:before="120" w:after="0"/>
        <w:jc w:val="both"/>
        <w:rPr>
          <w:rFonts w:asciiTheme="majorBidi" w:eastAsia="Arial" w:hAnsiTheme="majorBidi" w:cstheme="majorBidi"/>
          <w:color w:val="000000"/>
          <w:sz w:val="24"/>
        </w:rPr>
      </w:pPr>
      <w:r w:rsidRPr="00EB7D09">
        <w:rPr>
          <w:rFonts w:asciiTheme="majorBidi" w:eastAsia="Arial" w:hAnsiTheme="majorBidi" w:cstheme="majorBidi"/>
          <w:color w:val="000000"/>
          <w:sz w:val="24"/>
        </w:rPr>
        <w:t xml:space="preserve">This study determines the object of research, namely using manufacturing companies engaged in the industrial goods sector and the consumption of the food and beverage sub-sector. The researchers consider using this type of industrial sector because the food and beverage industry is a manufacturing sector with a high potential contribution to the national economy and tax revenues. This situation can be illustrated by the results of the performance results and the positive and consistent movement in share prices, such as increased productivity, </w:t>
      </w:r>
      <w:r w:rsidRPr="00EB7D09">
        <w:rPr>
          <w:rFonts w:asciiTheme="majorBidi" w:eastAsia="Arial" w:hAnsiTheme="majorBidi" w:cstheme="majorBidi"/>
          <w:color w:val="000000"/>
          <w:sz w:val="24"/>
        </w:rPr>
        <w:lastRenderedPageBreak/>
        <w:t xml:space="preserve">increased employment, exports, and investment. The food and beverage industry is part of a sector that has a high contribution to national investment, contributing </w:t>
      </w:r>
      <w:proofErr w:type="spellStart"/>
      <w:r w:rsidRPr="00EB7D09">
        <w:rPr>
          <w:rFonts w:asciiTheme="majorBidi" w:eastAsia="Arial" w:hAnsiTheme="majorBidi" w:cstheme="majorBidi"/>
          <w:color w:val="000000"/>
          <w:sz w:val="24"/>
        </w:rPr>
        <w:t>Rp</w:t>
      </w:r>
      <w:proofErr w:type="spellEnd"/>
      <w:r w:rsidRPr="00EB7D09">
        <w:rPr>
          <w:rFonts w:asciiTheme="majorBidi" w:eastAsia="Arial" w:hAnsiTheme="majorBidi" w:cstheme="majorBidi"/>
          <w:color w:val="000000"/>
          <w:sz w:val="24"/>
        </w:rPr>
        <w:t>. 56.60 trillion in 2018, and an increase of 7.91% exceeding national economic growth of 5.17%.</w:t>
      </w:r>
    </w:p>
    <w:p w:rsidR="00EF62D4" w:rsidRPr="00EB7D09" w:rsidRDefault="00D83EF7" w:rsidP="00EB7D09">
      <w:pPr>
        <w:spacing w:before="120" w:after="0"/>
        <w:jc w:val="both"/>
        <w:rPr>
          <w:rFonts w:asciiTheme="majorBidi" w:eastAsia="Arial" w:hAnsiTheme="majorBidi" w:cstheme="majorBidi"/>
          <w:color w:val="000000"/>
          <w:sz w:val="24"/>
        </w:rPr>
      </w:pPr>
      <w:r w:rsidRPr="00EB7D09">
        <w:rPr>
          <w:rFonts w:asciiTheme="majorBidi" w:eastAsia="Arial" w:hAnsiTheme="majorBidi" w:cstheme="majorBidi"/>
          <w:color w:val="000000"/>
          <w:sz w:val="24"/>
        </w:rPr>
        <w:t>Various ways are chosen by companies in their tax savings, through tax management actions. Generally, companies carry out tax management by avoiding taxes (tax avoidance). Tax avoidance is a tax saving strategy without violating tax policies. In implementing this strategy, the company deliberately uses the weaknesses in tax provisions, in addition to determining expenses that can reduce the amount of tax. However, not all companies will avoid taxes, because this has risks and results in higher tax costs, as well as damaging the company's image, and the continuity of the company can also be disrupted (</w:t>
      </w:r>
      <w:proofErr w:type="spellStart"/>
      <w:r w:rsidRPr="00EB7D09">
        <w:rPr>
          <w:rFonts w:asciiTheme="majorBidi" w:eastAsia="Arial" w:hAnsiTheme="majorBidi" w:cstheme="majorBidi"/>
          <w:color w:val="000000"/>
          <w:sz w:val="24"/>
        </w:rPr>
        <w:t>Ritonga</w:t>
      </w:r>
      <w:proofErr w:type="spellEnd"/>
      <w:r w:rsidRPr="00EB7D09">
        <w:rPr>
          <w:rFonts w:asciiTheme="majorBidi" w:eastAsia="Arial" w:hAnsiTheme="majorBidi" w:cstheme="majorBidi"/>
          <w:color w:val="000000"/>
          <w:sz w:val="24"/>
        </w:rPr>
        <w:t>, 2020).</w:t>
      </w:r>
    </w:p>
    <w:p w:rsidR="00EF62D4" w:rsidRPr="00EB7D09" w:rsidRDefault="00D83EF7" w:rsidP="00EB7D09">
      <w:pPr>
        <w:spacing w:before="120" w:after="0"/>
        <w:jc w:val="both"/>
        <w:rPr>
          <w:rFonts w:asciiTheme="majorBidi" w:eastAsia="Arial" w:hAnsiTheme="majorBidi" w:cstheme="majorBidi"/>
          <w:color w:val="000000"/>
          <w:sz w:val="24"/>
        </w:rPr>
      </w:pPr>
      <w:r w:rsidRPr="00EB7D09">
        <w:rPr>
          <w:rFonts w:asciiTheme="majorBidi" w:eastAsia="Arial" w:hAnsiTheme="majorBidi" w:cstheme="majorBidi"/>
          <w:color w:val="000000"/>
          <w:sz w:val="24"/>
        </w:rPr>
        <w:t xml:space="preserve">Usually the company has an external financing structure </w:t>
      </w:r>
      <w:proofErr w:type="spellStart"/>
      <w:r w:rsidRPr="00EB7D09">
        <w:rPr>
          <w:rFonts w:asciiTheme="majorBidi" w:eastAsia="Arial" w:hAnsiTheme="majorBidi" w:cstheme="majorBidi"/>
          <w:color w:val="000000"/>
          <w:sz w:val="24"/>
        </w:rPr>
        <w:t>that</w:t>
      </w:r>
      <w:r w:rsidRPr="00EB7D09">
        <w:rPr>
          <w:rFonts w:asciiTheme="majorBidi" w:eastAsia="Arial" w:hAnsiTheme="majorBidi" w:cstheme="majorBidi"/>
          <w:sz w:val="24"/>
        </w:rPr>
        <w:t>show</w:t>
      </w:r>
      <w:r w:rsidRPr="00EB7D09">
        <w:rPr>
          <w:rFonts w:asciiTheme="majorBidi" w:eastAsia="Arial" w:hAnsiTheme="majorBidi" w:cstheme="majorBidi"/>
          <w:color w:val="000000"/>
          <w:sz w:val="24"/>
        </w:rPr>
        <w:t>strategy</w:t>
      </w:r>
      <w:proofErr w:type="spellEnd"/>
      <w:r w:rsidRPr="00EB7D09">
        <w:rPr>
          <w:rFonts w:asciiTheme="majorBidi" w:eastAsia="Arial" w:hAnsiTheme="majorBidi" w:cstheme="majorBidi"/>
          <w:color w:val="000000"/>
          <w:sz w:val="24"/>
        </w:rPr>
        <w:t xml:space="preserve"> of how the company finances assets. Companies need capital sourced from internal capital and foreign capital. (</w:t>
      </w:r>
      <w:proofErr w:type="spellStart"/>
      <w:r w:rsidRPr="00EB7D09">
        <w:rPr>
          <w:rFonts w:asciiTheme="majorBidi" w:eastAsia="Arial" w:hAnsiTheme="majorBidi" w:cstheme="majorBidi"/>
          <w:color w:val="000000"/>
          <w:sz w:val="24"/>
        </w:rPr>
        <w:t>Siswanto</w:t>
      </w:r>
      <w:proofErr w:type="spellEnd"/>
      <w:r w:rsidRPr="00EB7D09">
        <w:rPr>
          <w:rFonts w:asciiTheme="majorBidi" w:eastAsia="Arial" w:hAnsiTheme="majorBidi" w:cstheme="majorBidi"/>
          <w:color w:val="000000"/>
          <w:sz w:val="24"/>
        </w:rPr>
        <w:t>, 2007) explained that external funding is an activity of allocating funds to finance investment activities, taking into account the combination of economic resources for the issuance of new shares and debt. (</w:t>
      </w:r>
      <w:proofErr w:type="spellStart"/>
      <w:r w:rsidRPr="00EB7D09">
        <w:rPr>
          <w:rFonts w:asciiTheme="majorBidi" w:eastAsia="Arial" w:hAnsiTheme="majorBidi" w:cstheme="majorBidi"/>
          <w:color w:val="000000"/>
          <w:sz w:val="24"/>
        </w:rPr>
        <w:t>Ritonga</w:t>
      </w:r>
      <w:proofErr w:type="spellEnd"/>
      <w:r w:rsidRPr="00EB7D09">
        <w:rPr>
          <w:rFonts w:asciiTheme="majorBidi" w:eastAsia="Arial" w:hAnsiTheme="majorBidi" w:cstheme="majorBidi"/>
          <w:color w:val="000000"/>
          <w:sz w:val="24"/>
        </w:rPr>
        <w:t>, 2020).</w:t>
      </w:r>
    </w:p>
    <w:p w:rsidR="00970A21" w:rsidRPr="00EB7D09" w:rsidRDefault="00D83EF7" w:rsidP="00EB7D09">
      <w:pPr>
        <w:spacing w:before="120" w:after="0"/>
        <w:jc w:val="both"/>
        <w:rPr>
          <w:rFonts w:asciiTheme="majorBidi" w:eastAsia="Arial" w:hAnsiTheme="majorBidi" w:cstheme="majorBidi"/>
          <w:b/>
          <w:color w:val="000000"/>
          <w:sz w:val="24"/>
          <w:lang w:val="id-ID"/>
        </w:rPr>
      </w:pPr>
      <w:r w:rsidRPr="00EB7D09">
        <w:rPr>
          <w:rFonts w:asciiTheme="majorBidi" w:eastAsia="Arial" w:hAnsiTheme="majorBidi" w:cstheme="majorBidi"/>
          <w:color w:val="000000"/>
          <w:sz w:val="24"/>
        </w:rPr>
        <w:t>Referring to this background, the researcher wishes to conduct research entitled "The Effect of Tax Avoidance on External Funding in Manufacturing Companies Listed on the Indonesia Stock Exchange (Study on Manufacturing Companies Listed on the IDX in 2019-2021)".</w:t>
      </w:r>
      <w:bookmarkStart w:id="0" w:name="_Toc109907781"/>
    </w:p>
    <w:p w:rsidR="000C6CF1" w:rsidRPr="00B241CA" w:rsidRDefault="000C6CF1" w:rsidP="00B241CA">
      <w:pPr>
        <w:pStyle w:val="Heading1"/>
        <w:spacing w:before="120" w:after="0"/>
        <w:jc w:val="left"/>
        <w:rPr>
          <w:rFonts w:asciiTheme="majorBidi" w:hAnsiTheme="majorBidi" w:cstheme="majorBidi"/>
          <w:color w:val="000000"/>
          <w:sz w:val="24"/>
          <w:szCs w:val="24"/>
          <w:lang w:val="id-ID"/>
        </w:rPr>
      </w:pPr>
      <w:bookmarkStart w:id="1" w:name="_Toc109907782"/>
      <w:bookmarkEnd w:id="0"/>
      <w:r w:rsidRPr="00B241CA">
        <w:rPr>
          <w:rFonts w:asciiTheme="majorBidi" w:hAnsiTheme="majorBidi" w:cstheme="majorBidi"/>
          <w:color w:val="000000"/>
          <w:sz w:val="24"/>
          <w:szCs w:val="24"/>
        </w:rPr>
        <w:t xml:space="preserve">RESEARCH METHODS </w:t>
      </w:r>
    </w:p>
    <w:p w:rsidR="00970A21" w:rsidRPr="00B241CA" w:rsidRDefault="00970A21" w:rsidP="00B241CA">
      <w:pPr>
        <w:pStyle w:val="Heading1"/>
        <w:spacing w:before="120" w:after="0"/>
        <w:jc w:val="left"/>
        <w:rPr>
          <w:rFonts w:asciiTheme="majorBidi" w:hAnsiTheme="majorBidi" w:cstheme="majorBidi"/>
          <w:sz w:val="24"/>
          <w:szCs w:val="24"/>
          <w:lang w:val="id-ID"/>
        </w:rPr>
      </w:pPr>
      <w:r w:rsidRPr="00B241CA">
        <w:rPr>
          <w:rFonts w:asciiTheme="majorBidi" w:hAnsiTheme="majorBidi" w:cstheme="majorBidi"/>
          <w:sz w:val="24"/>
          <w:szCs w:val="24"/>
          <w:lang w:val="id-ID"/>
        </w:rPr>
        <w:t>Types of research</w:t>
      </w:r>
    </w:p>
    <w:bookmarkEnd w:id="1"/>
    <w:p w:rsidR="00970A21" w:rsidRPr="00970A21" w:rsidRDefault="00D83EF7" w:rsidP="00B241CA">
      <w:pPr>
        <w:spacing w:before="120" w:after="0"/>
        <w:jc w:val="both"/>
        <w:rPr>
          <w:rFonts w:asciiTheme="majorBidi" w:eastAsia="Arial" w:hAnsiTheme="majorBidi" w:cstheme="majorBidi"/>
          <w:color w:val="000000"/>
          <w:lang w:val="id-ID"/>
        </w:rPr>
      </w:pPr>
      <w:r w:rsidRPr="00B241CA">
        <w:rPr>
          <w:rFonts w:asciiTheme="majorBidi" w:eastAsia="Arial" w:hAnsiTheme="majorBidi" w:cstheme="majorBidi"/>
          <w:color w:val="000000"/>
          <w:sz w:val="24"/>
          <w:szCs w:val="24"/>
        </w:rPr>
        <w:t>This type of research conducted in this research is quantitative research. Quantitative research is research conducted by collecting data in the form of numbers or data in the form of words or sentences converted into data in the form of numbers. According to the title of this study, "The Effect of Tax Avoidance on External Funding in Manufacturing Companies Listed on the Indonesian Stock Exchange". The research conducted by the author took data on manufacturing companies listed on the Indonesian Stock Exchange (IDX) Investment Gallery. Time This research was conducted in April to date. The type of data used in this study is secondary data. Secondary data, namely the type of data in research based on how to obtain it, which means that the source of research data is obtained and collected by researchers indirectly but with other parties. The data source used in this research is the financial statements of manufacturing companies, thus the data obtained in this research is data listed on the Indonesia Stock Exchange. This data is in the form of financial reports on the Indonesia Stock Exchange from the IDX's official website</w:t>
      </w:r>
      <w:hyperlink r:id="rId10">
        <w:r w:rsidRPr="00B241CA">
          <w:rPr>
            <w:rFonts w:asciiTheme="majorBidi" w:eastAsia="Arial" w:hAnsiTheme="majorBidi" w:cstheme="majorBidi"/>
            <w:color w:val="0000FF"/>
            <w:sz w:val="24"/>
            <w:szCs w:val="24"/>
            <w:u w:val="single"/>
          </w:rPr>
          <w:t>www.idx.co.id</w:t>
        </w:r>
      </w:hyperlink>
      <w:r w:rsidRPr="00B241CA">
        <w:rPr>
          <w:rFonts w:asciiTheme="majorBidi" w:eastAsia="Arial" w:hAnsiTheme="majorBidi" w:cstheme="majorBidi"/>
          <w:color w:val="000000"/>
          <w:sz w:val="24"/>
          <w:szCs w:val="24"/>
        </w:rPr>
        <w:t>.</w:t>
      </w:r>
      <w:r w:rsidRPr="00B241CA">
        <w:rPr>
          <w:rFonts w:asciiTheme="majorBidi" w:eastAsia="Arial" w:hAnsiTheme="majorBidi" w:cstheme="majorBidi"/>
          <w:color w:val="222222"/>
          <w:sz w:val="24"/>
          <w:szCs w:val="24"/>
        </w:rPr>
        <w:t xml:space="preserve">. This research determines the research population </w:t>
      </w:r>
      <w:proofErr w:type="spellStart"/>
      <w:r w:rsidRPr="00B241CA">
        <w:rPr>
          <w:rFonts w:asciiTheme="majorBidi" w:eastAsia="Arial" w:hAnsiTheme="majorBidi" w:cstheme="majorBidi"/>
          <w:color w:val="222222"/>
          <w:sz w:val="24"/>
          <w:szCs w:val="24"/>
        </w:rPr>
        <w:t>namely</w:t>
      </w:r>
      <w:r w:rsidRPr="00B241CA">
        <w:rPr>
          <w:rFonts w:asciiTheme="majorBidi" w:eastAsia="Arial" w:hAnsiTheme="majorBidi" w:cstheme="majorBidi"/>
          <w:color w:val="000000"/>
          <w:sz w:val="24"/>
          <w:szCs w:val="24"/>
        </w:rPr>
        <w:t>food</w:t>
      </w:r>
      <w:proofErr w:type="spellEnd"/>
      <w:r w:rsidRPr="00B241CA">
        <w:rPr>
          <w:rFonts w:asciiTheme="majorBidi" w:eastAsia="Arial" w:hAnsiTheme="majorBidi" w:cstheme="majorBidi"/>
          <w:color w:val="000000"/>
          <w:sz w:val="24"/>
          <w:szCs w:val="24"/>
        </w:rPr>
        <w:t xml:space="preserve"> and beverage manufacturing companies listed on the IDX in 2019 – 2021</w:t>
      </w:r>
      <w:r w:rsidR="00B241CA">
        <w:rPr>
          <w:rFonts w:asciiTheme="majorBidi" w:eastAsia="Arial" w:hAnsiTheme="majorBidi" w:cstheme="majorBidi"/>
          <w:color w:val="000000"/>
        </w:rPr>
        <w:t>.</w:t>
      </w:r>
    </w:p>
    <w:p w:rsidR="009B11AC" w:rsidRPr="00B241CA" w:rsidRDefault="00970A21" w:rsidP="00B241CA">
      <w:pPr>
        <w:spacing w:before="120" w:after="0"/>
        <w:jc w:val="both"/>
        <w:rPr>
          <w:rFonts w:asciiTheme="majorBidi" w:eastAsia="Arial" w:hAnsiTheme="majorBidi" w:cstheme="majorBidi"/>
          <w:b/>
          <w:bCs/>
          <w:color w:val="000000"/>
          <w:sz w:val="24"/>
          <w:szCs w:val="24"/>
          <w:lang w:val="id-ID"/>
        </w:rPr>
      </w:pPr>
      <w:r w:rsidRPr="00B241CA">
        <w:rPr>
          <w:rFonts w:asciiTheme="majorBidi" w:eastAsia="Arial" w:hAnsiTheme="majorBidi" w:cstheme="majorBidi"/>
          <w:b/>
          <w:bCs/>
          <w:color w:val="000000"/>
          <w:sz w:val="24"/>
          <w:szCs w:val="24"/>
          <w:lang w:val="id-ID"/>
        </w:rPr>
        <w:t>Population</w:t>
      </w:r>
    </w:p>
    <w:p w:rsidR="00EF62D4" w:rsidRPr="00B241CA" w:rsidRDefault="00D83EF7" w:rsidP="00B241CA">
      <w:pPr>
        <w:spacing w:before="120" w:after="0"/>
        <w:jc w:val="both"/>
        <w:rPr>
          <w:rFonts w:asciiTheme="majorBidi" w:eastAsia="Arial" w:hAnsiTheme="majorBidi" w:cstheme="majorBidi"/>
          <w:color w:val="000000"/>
          <w:sz w:val="24"/>
          <w:szCs w:val="24"/>
        </w:rPr>
      </w:pPr>
      <w:r w:rsidRPr="00B241CA">
        <w:rPr>
          <w:rFonts w:asciiTheme="majorBidi" w:eastAsia="Arial" w:hAnsiTheme="majorBidi" w:cstheme="majorBidi"/>
          <w:color w:val="000000"/>
          <w:sz w:val="24"/>
          <w:szCs w:val="24"/>
        </w:rPr>
        <w:t>The population of this study were 42 food and beverage sector companies listed on the IDX.</w:t>
      </w:r>
    </w:p>
    <w:p w:rsidR="00045915" w:rsidRDefault="00045915" w:rsidP="00B241CA">
      <w:pPr>
        <w:spacing w:before="120" w:after="0"/>
        <w:jc w:val="center"/>
        <w:rPr>
          <w:rFonts w:asciiTheme="majorBidi" w:eastAsia="Arial" w:hAnsiTheme="majorBidi" w:cstheme="majorBidi"/>
          <w:b/>
          <w:color w:val="000000"/>
          <w:sz w:val="24"/>
          <w:szCs w:val="24"/>
        </w:rPr>
      </w:pPr>
    </w:p>
    <w:p w:rsidR="00045915" w:rsidRDefault="00045915" w:rsidP="00B241CA">
      <w:pPr>
        <w:spacing w:before="120" w:after="0"/>
        <w:jc w:val="center"/>
        <w:rPr>
          <w:rFonts w:asciiTheme="majorBidi" w:eastAsia="Arial" w:hAnsiTheme="majorBidi" w:cstheme="majorBidi"/>
          <w:b/>
          <w:color w:val="000000"/>
          <w:sz w:val="24"/>
          <w:szCs w:val="24"/>
        </w:rPr>
      </w:pPr>
    </w:p>
    <w:p w:rsidR="00045915" w:rsidRDefault="00045915" w:rsidP="00B241CA">
      <w:pPr>
        <w:spacing w:before="120" w:after="0"/>
        <w:jc w:val="center"/>
        <w:rPr>
          <w:rFonts w:asciiTheme="majorBidi" w:eastAsia="Arial" w:hAnsiTheme="majorBidi" w:cstheme="majorBidi"/>
          <w:b/>
          <w:color w:val="000000"/>
          <w:sz w:val="24"/>
          <w:szCs w:val="24"/>
        </w:rPr>
      </w:pPr>
    </w:p>
    <w:p w:rsidR="00EF62D4" w:rsidRPr="00B241CA" w:rsidRDefault="00D83EF7" w:rsidP="00B241CA">
      <w:pPr>
        <w:spacing w:before="120" w:after="0"/>
        <w:jc w:val="center"/>
        <w:rPr>
          <w:rFonts w:asciiTheme="majorBidi" w:eastAsia="Arial" w:hAnsiTheme="majorBidi" w:cstheme="majorBidi"/>
          <w:color w:val="000000"/>
          <w:sz w:val="24"/>
          <w:szCs w:val="24"/>
          <w:lang w:val="id-ID"/>
        </w:rPr>
      </w:pPr>
      <w:r w:rsidRPr="00B241CA">
        <w:rPr>
          <w:rFonts w:asciiTheme="majorBidi" w:eastAsia="Arial" w:hAnsiTheme="majorBidi" w:cstheme="majorBidi"/>
          <w:b/>
          <w:color w:val="000000"/>
          <w:sz w:val="24"/>
          <w:szCs w:val="24"/>
        </w:rPr>
        <w:lastRenderedPageBreak/>
        <w:t>Table 1</w:t>
      </w:r>
      <w:r w:rsidR="00B241CA">
        <w:rPr>
          <w:rFonts w:asciiTheme="majorBidi" w:eastAsia="Arial" w:hAnsiTheme="majorBidi" w:cstheme="majorBidi"/>
          <w:b/>
          <w:color w:val="000000"/>
          <w:sz w:val="24"/>
          <w:szCs w:val="24"/>
        </w:rPr>
        <w:t xml:space="preserve">. </w:t>
      </w:r>
      <w:r w:rsidRPr="00B241CA">
        <w:rPr>
          <w:rFonts w:asciiTheme="majorBidi" w:eastAsia="Arial" w:hAnsiTheme="majorBidi" w:cstheme="majorBidi"/>
          <w:color w:val="000000"/>
          <w:sz w:val="24"/>
          <w:szCs w:val="24"/>
        </w:rPr>
        <w:t>List of Population of Companies in the Food and Beverage Sector Listed on the Indonesia Stock Exchange (IDX) 2019-2021.</w:t>
      </w:r>
    </w:p>
    <w:tbl>
      <w:tblPr>
        <w:tblStyle w:val="Style39"/>
        <w:tblW w:w="0" w:type="auto"/>
        <w:jc w:val="center"/>
        <w:tblBorders>
          <w:top w:val="single" w:sz="4" w:space="0" w:color="auto"/>
          <w:insideH w:val="single" w:sz="4" w:space="0" w:color="auto"/>
        </w:tblBorders>
        <w:tblLook w:val="04A0" w:firstRow="1" w:lastRow="0" w:firstColumn="1" w:lastColumn="0" w:noHBand="0" w:noVBand="1"/>
      </w:tblPr>
      <w:tblGrid>
        <w:gridCol w:w="516"/>
        <w:gridCol w:w="1003"/>
        <w:gridCol w:w="5249"/>
      </w:tblGrid>
      <w:tr w:rsidR="00EF62D4" w:rsidRPr="000E1E72" w:rsidTr="00B241CA">
        <w:trPr>
          <w:jc w:val="center"/>
        </w:trPr>
        <w:tc>
          <w:tcPr>
            <w:tcW w:w="0" w:type="auto"/>
            <w:vAlign w:val="center"/>
          </w:tcPr>
          <w:p w:rsidR="00EF62D4" w:rsidRPr="000E1E72" w:rsidRDefault="00D83EF7" w:rsidP="00970A21">
            <w:pPr>
              <w:spacing w:line="276" w:lineRule="auto"/>
              <w:jc w:val="center"/>
              <w:rPr>
                <w:rFonts w:ascii="Times New Roman" w:eastAsia="Arial" w:hAnsi="Times New Roman" w:cs="Times New Roman"/>
                <w:b/>
                <w:color w:val="000000"/>
                <w:sz w:val="24"/>
                <w:szCs w:val="24"/>
              </w:rPr>
            </w:pPr>
            <w:r w:rsidRPr="000E1E72">
              <w:rPr>
                <w:rFonts w:ascii="Times New Roman" w:eastAsia="Arial" w:hAnsi="Times New Roman" w:cs="Times New Roman"/>
                <w:b/>
                <w:color w:val="000000"/>
                <w:sz w:val="24"/>
                <w:szCs w:val="24"/>
              </w:rPr>
              <w:t>No</w:t>
            </w:r>
          </w:p>
        </w:tc>
        <w:tc>
          <w:tcPr>
            <w:tcW w:w="0" w:type="auto"/>
            <w:vAlign w:val="center"/>
          </w:tcPr>
          <w:p w:rsidR="00EF62D4" w:rsidRPr="000E1E72" w:rsidRDefault="00D83EF7" w:rsidP="00970A21">
            <w:pPr>
              <w:spacing w:line="276" w:lineRule="auto"/>
              <w:jc w:val="center"/>
              <w:rPr>
                <w:rFonts w:ascii="Times New Roman" w:eastAsia="Arial" w:hAnsi="Times New Roman" w:cs="Times New Roman"/>
                <w:b/>
                <w:color w:val="000000"/>
                <w:sz w:val="24"/>
                <w:szCs w:val="24"/>
              </w:rPr>
            </w:pPr>
            <w:r w:rsidRPr="000E1E72">
              <w:rPr>
                <w:rFonts w:ascii="Times New Roman" w:eastAsia="Arial" w:hAnsi="Times New Roman" w:cs="Times New Roman"/>
                <w:b/>
                <w:color w:val="000000"/>
                <w:sz w:val="24"/>
                <w:szCs w:val="24"/>
              </w:rPr>
              <w:t>Code</w:t>
            </w:r>
          </w:p>
        </w:tc>
        <w:tc>
          <w:tcPr>
            <w:tcW w:w="0" w:type="auto"/>
            <w:vAlign w:val="center"/>
          </w:tcPr>
          <w:p w:rsidR="00EF62D4" w:rsidRPr="000E1E72" w:rsidRDefault="00D83EF7" w:rsidP="00970A21">
            <w:pPr>
              <w:spacing w:line="276" w:lineRule="auto"/>
              <w:jc w:val="center"/>
              <w:rPr>
                <w:rFonts w:ascii="Times New Roman" w:eastAsia="Arial" w:hAnsi="Times New Roman" w:cs="Times New Roman"/>
                <w:b/>
                <w:color w:val="000000"/>
                <w:sz w:val="24"/>
                <w:szCs w:val="24"/>
              </w:rPr>
            </w:pPr>
            <w:r w:rsidRPr="000E1E72">
              <w:rPr>
                <w:rFonts w:ascii="Times New Roman" w:eastAsia="Arial" w:hAnsi="Times New Roman" w:cs="Times New Roman"/>
                <w:b/>
                <w:color w:val="000000"/>
                <w:sz w:val="24"/>
                <w:szCs w:val="24"/>
              </w:rPr>
              <w:t>Company name</w:t>
            </w:r>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ADES</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Akasha </w:t>
            </w:r>
            <w:proofErr w:type="spellStart"/>
            <w:r w:rsidRPr="000E1E72">
              <w:rPr>
                <w:rFonts w:ascii="Times New Roman" w:eastAsia="Arial" w:hAnsi="Times New Roman" w:cs="Times New Roman"/>
                <w:color w:val="000000"/>
                <w:sz w:val="24"/>
                <w:szCs w:val="24"/>
              </w:rPr>
              <w:t>Wira</w:t>
            </w:r>
            <w:proofErr w:type="spellEnd"/>
            <w:r w:rsidRPr="000E1E72">
              <w:rPr>
                <w:rFonts w:ascii="Times New Roman" w:eastAsia="Arial" w:hAnsi="Times New Roman" w:cs="Times New Roman"/>
                <w:color w:val="000000"/>
                <w:sz w:val="24"/>
                <w:szCs w:val="24"/>
              </w:rPr>
              <w:t xml:space="preserve"> International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AISA</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Tiga</w:t>
            </w:r>
            <w:proofErr w:type="spellEnd"/>
            <w:r w:rsidRPr="000E1E72">
              <w:rPr>
                <w:rFonts w:ascii="Times New Roman" w:eastAsia="Arial" w:hAnsi="Times New Roman" w:cs="Times New Roman"/>
                <w:color w:val="000000"/>
                <w:sz w:val="24"/>
                <w:szCs w:val="24"/>
              </w:rPr>
              <w:t xml:space="preserve"> Pilar Sejahtera Food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ALTO</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Tri Banyan </w:t>
            </w:r>
            <w:proofErr w:type="spellStart"/>
            <w:r w:rsidRPr="000E1E72">
              <w:rPr>
                <w:rFonts w:ascii="Times New Roman" w:eastAsia="Arial" w:hAnsi="Times New Roman" w:cs="Times New Roman"/>
                <w:color w:val="000000"/>
                <w:sz w:val="24"/>
                <w:szCs w:val="24"/>
              </w:rPr>
              <w:t>Tirta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4.</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BTEK</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Superior </w:t>
            </w:r>
            <w:proofErr w:type="spellStart"/>
            <w:r w:rsidRPr="000E1E72">
              <w:rPr>
                <w:rFonts w:ascii="Times New Roman" w:eastAsia="Arial" w:hAnsi="Times New Roman" w:cs="Times New Roman"/>
                <w:color w:val="000000"/>
                <w:sz w:val="24"/>
                <w:szCs w:val="24"/>
              </w:rPr>
              <w:t>Technoculture</w:t>
            </w:r>
            <w:proofErr w:type="spellEnd"/>
            <w:r w:rsidRPr="000E1E72">
              <w:rPr>
                <w:rFonts w:ascii="Times New Roman" w:eastAsia="Arial" w:hAnsi="Times New Roman" w:cs="Times New Roman"/>
                <w:color w:val="000000"/>
                <w:sz w:val="24"/>
                <w:szCs w:val="24"/>
              </w:rPr>
              <w:t xml:space="preserve"> Earth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5.</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BUDI</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Budi</w:t>
            </w:r>
            <w:r w:rsidRPr="000E1E72">
              <w:rPr>
                <w:rFonts w:ascii="Times New Roman" w:eastAsia="Arial" w:hAnsi="Times New Roman" w:cs="Times New Roman"/>
                <w:sz w:val="24"/>
                <w:szCs w:val="24"/>
              </w:rPr>
              <w:t>Starch</w:t>
            </w:r>
            <w:proofErr w:type="spellEnd"/>
            <w:r w:rsidRPr="000E1E72">
              <w:rPr>
                <w:rFonts w:ascii="Times New Roman" w:eastAsia="Arial" w:hAnsi="Times New Roman" w:cs="Times New Roman"/>
                <w:color w:val="000000"/>
                <w:sz w:val="24"/>
                <w:szCs w:val="24"/>
              </w:rPr>
              <w:t xml:space="preserve">&amp; Sweetener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6.</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CAMP</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Campina Ice Cream Industry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7.</w:t>
            </w:r>
          </w:p>
        </w:tc>
        <w:tc>
          <w:tcPr>
            <w:tcW w:w="0" w:type="auto"/>
          </w:tcPr>
          <w:p w:rsidR="00EF62D4" w:rsidRPr="000E1E72" w:rsidRDefault="00683BF5"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CEKA</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Wilmar </w:t>
            </w:r>
            <w:proofErr w:type="spellStart"/>
            <w:r w:rsidRPr="000E1E72">
              <w:rPr>
                <w:rFonts w:ascii="Times New Roman" w:eastAsia="Arial" w:hAnsi="Times New Roman" w:cs="Times New Roman"/>
                <w:color w:val="000000"/>
                <w:sz w:val="24"/>
                <w:szCs w:val="24"/>
              </w:rPr>
              <w:t>Cahaya</w:t>
            </w:r>
            <w:proofErr w:type="spellEnd"/>
            <w:r w:rsidRPr="000E1E72">
              <w:rPr>
                <w:rFonts w:ascii="Times New Roman" w:eastAsia="Arial" w:hAnsi="Times New Roman" w:cs="Times New Roman"/>
                <w:color w:val="000000"/>
                <w:sz w:val="24"/>
                <w:szCs w:val="24"/>
              </w:rPr>
              <w:t xml:space="preserve"> Indonesia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8.</w:t>
            </w:r>
          </w:p>
        </w:tc>
        <w:tc>
          <w:tcPr>
            <w:tcW w:w="0" w:type="auto"/>
          </w:tcPr>
          <w:p w:rsidR="00EF62D4" w:rsidRPr="000E1E72" w:rsidRDefault="00E659BE"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CLEO</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Sariguna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Primatirta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9.</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CMRY</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Cisarua</w:t>
            </w:r>
            <w:proofErr w:type="spellEnd"/>
            <w:r w:rsidRPr="000E1E72">
              <w:rPr>
                <w:rFonts w:ascii="Times New Roman" w:eastAsia="Arial" w:hAnsi="Times New Roman" w:cs="Times New Roman"/>
                <w:color w:val="000000"/>
                <w:sz w:val="24"/>
                <w:szCs w:val="24"/>
              </w:rPr>
              <w:t xml:space="preserve"> Mountain Dairy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10.</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COCO</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Wahana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Interfood</w:t>
            </w:r>
            <w:proofErr w:type="spellEnd"/>
            <w:r w:rsidRPr="000E1E72">
              <w:rPr>
                <w:rFonts w:ascii="Times New Roman" w:eastAsia="Arial" w:hAnsi="Times New Roman" w:cs="Times New Roman"/>
                <w:color w:val="000000"/>
                <w:sz w:val="24"/>
                <w:szCs w:val="24"/>
              </w:rPr>
              <w:t xml:space="preserve"> Nusantara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11.</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CRAB</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Toba Surimi Industries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12.</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DLTA</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PT Delta Djakarta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13.</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DMND</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Diamond Food Indonesia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14.</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ENZO</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Morenzo</w:t>
            </w:r>
            <w:proofErr w:type="spellEnd"/>
            <w:r w:rsidRPr="000E1E72">
              <w:rPr>
                <w:rFonts w:ascii="Times New Roman" w:eastAsia="Arial" w:hAnsi="Times New Roman" w:cs="Times New Roman"/>
                <w:color w:val="000000"/>
                <w:sz w:val="24"/>
                <w:szCs w:val="24"/>
              </w:rPr>
              <w:t xml:space="preserve"> Abadi Perkasa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15.</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FOOD</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Sentra Food Indonesia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16.</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GOOD</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Garudafood</w:t>
            </w:r>
            <w:proofErr w:type="spellEnd"/>
            <w:r w:rsidRPr="000E1E72">
              <w:rPr>
                <w:rFonts w:ascii="Times New Roman" w:eastAsia="Arial" w:hAnsi="Times New Roman" w:cs="Times New Roman"/>
                <w:color w:val="000000"/>
                <w:sz w:val="24"/>
                <w:szCs w:val="24"/>
              </w:rPr>
              <w:t xml:space="preserve"> Putra Putri Jaya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17.</w:t>
            </w:r>
          </w:p>
        </w:tc>
        <w:tc>
          <w:tcPr>
            <w:tcW w:w="0" w:type="auto"/>
          </w:tcPr>
          <w:p w:rsidR="00EF62D4" w:rsidRPr="000E1E72" w:rsidRDefault="00034C0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HOKI</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Buyung</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Poetra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Sembada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18.</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IBOS</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Indo Boga Success</w:t>
            </w:r>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19.</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ICBP</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Indofood CBP Success Prosperous</w:t>
            </w:r>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20.</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IIKP</w:t>
            </w:r>
          </w:p>
        </w:tc>
        <w:tc>
          <w:tcPr>
            <w:tcW w:w="0" w:type="auto"/>
          </w:tcPr>
          <w:p w:rsidR="00EF62D4" w:rsidRPr="000E1E72" w:rsidRDefault="006C78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Inti Agri Resources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21.</w:t>
            </w:r>
          </w:p>
        </w:tc>
        <w:tc>
          <w:tcPr>
            <w:tcW w:w="0" w:type="auto"/>
          </w:tcPr>
          <w:p w:rsidR="00EF62D4" w:rsidRPr="000E1E72" w:rsidRDefault="004718C0"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IKAN</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Era </w:t>
            </w:r>
            <w:proofErr w:type="spellStart"/>
            <w:r w:rsidRPr="000E1E72">
              <w:rPr>
                <w:rFonts w:ascii="Times New Roman" w:eastAsia="Arial" w:hAnsi="Times New Roman" w:cs="Times New Roman"/>
                <w:color w:val="000000"/>
                <w:sz w:val="24"/>
                <w:szCs w:val="24"/>
              </w:rPr>
              <w:t>Mandiri</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Cemerlang</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22.</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INDF</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Indofood </w:t>
            </w:r>
            <w:proofErr w:type="spellStart"/>
            <w:r w:rsidRPr="000E1E72">
              <w:rPr>
                <w:rFonts w:ascii="Times New Roman" w:eastAsia="Arial" w:hAnsi="Times New Roman" w:cs="Times New Roman"/>
                <w:color w:val="000000"/>
                <w:sz w:val="24"/>
                <w:szCs w:val="24"/>
              </w:rPr>
              <w:t>Sukses</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Makmur</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23.</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IPPE</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Indo </w:t>
            </w:r>
            <w:proofErr w:type="spellStart"/>
            <w:r w:rsidRPr="000E1E72">
              <w:rPr>
                <w:rFonts w:ascii="Times New Roman" w:eastAsia="Arial" w:hAnsi="Times New Roman" w:cs="Times New Roman"/>
                <w:color w:val="000000"/>
                <w:sz w:val="24"/>
                <w:szCs w:val="24"/>
              </w:rPr>
              <w:t>Pureco</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Pratama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24.</w:t>
            </w:r>
          </w:p>
        </w:tc>
        <w:tc>
          <w:tcPr>
            <w:tcW w:w="0" w:type="auto"/>
          </w:tcPr>
          <w:p w:rsidR="00EF62D4" w:rsidRPr="000E1E72" w:rsidRDefault="004718C0"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KEJU</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Mulia</w:t>
            </w:r>
            <w:proofErr w:type="spellEnd"/>
            <w:r w:rsidRPr="000E1E72">
              <w:rPr>
                <w:rFonts w:ascii="Times New Roman" w:eastAsia="Arial" w:hAnsi="Times New Roman" w:cs="Times New Roman"/>
                <w:color w:val="000000"/>
                <w:sz w:val="24"/>
                <w:szCs w:val="24"/>
              </w:rPr>
              <w:t xml:space="preserve"> Boga Raya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25.</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MGNA</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Magna </w:t>
            </w:r>
            <w:proofErr w:type="spellStart"/>
            <w:r w:rsidRPr="000E1E72">
              <w:rPr>
                <w:rFonts w:ascii="Times New Roman" w:eastAsia="Arial" w:hAnsi="Times New Roman" w:cs="Times New Roman"/>
                <w:color w:val="000000"/>
                <w:sz w:val="24"/>
                <w:szCs w:val="24"/>
              </w:rPr>
              <w:t>Investama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Mandiri</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26.</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MLBI</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Multi Bintang Indonesia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27.</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MYOR</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Mayora</w:t>
            </w:r>
            <w:proofErr w:type="spellEnd"/>
            <w:r w:rsidRPr="000E1E72">
              <w:rPr>
                <w:rFonts w:ascii="Times New Roman" w:eastAsia="Arial" w:hAnsi="Times New Roman" w:cs="Times New Roman"/>
                <w:color w:val="000000"/>
                <w:sz w:val="24"/>
                <w:szCs w:val="24"/>
              </w:rPr>
              <w:t xml:space="preserve"> Indah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28.</w:t>
            </w:r>
          </w:p>
        </w:tc>
        <w:tc>
          <w:tcPr>
            <w:tcW w:w="0" w:type="auto"/>
          </w:tcPr>
          <w:p w:rsidR="00EF62D4" w:rsidRPr="000E1E72" w:rsidRDefault="004718C0"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NASI</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Wahana</w:t>
            </w:r>
            <w:proofErr w:type="spellEnd"/>
            <w:r w:rsidRPr="000E1E72">
              <w:rPr>
                <w:rFonts w:ascii="Times New Roman" w:eastAsia="Arial" w:hAnsi="Times New Roman" w:cs="Times New Roman"/>
                <w:color w:val="000000"/>
                <w:sz w:val="24"/>
                <w:szCs w:val="24"/>
              </w:rPr>
              <w:t xml:space="preserve"> Inti </w:t>
            </w:r>
            <w:proofErr w:type="spellStart"/>
            <w:r w:rsidRPr="000E1E72">
              <w:rPr>
                <w:rFonts w:ascii="Times New Roman" w:eastAsia="Arial" w:hAnsi="Times New Roman" w:cs="Times New Roman"/>
                <w:color w:val="000000"/>
                <w:sz w:val="24"/>
                <w:szCs w:val="24"/>
              </w:rPr>
              <w:t>Makmur</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29.</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PANI</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Pratama</w:t>
            </w:r>
            <w:proofErr w:type="spellEnd"/>
            <w:r w:rsidRPr="000E1E72">
              <w:rPr>
                <w:rFonts w:ascii="Times New Roman" w:eastAsia="Arial" w:hAnsi="Times New Roman" w:cs="Times New Roman"/>
                <w:color w:val="000000"/>
                <w:sz w:val="24"/>
                <w:szCs w:val="24"/>
              </w:rPr>
              <w:t xml:space="preserve"> Abadi Nusa </w:t>
            </w:r>
            <w:proofErr w:type="spellStart"/>
            <w:r w:rsidRPr="000E1E72">
              <w:rPr>
                <w:rFonts w:ascii="Times New Roman" w:eastAsia="Arial" w:hAnsi="Times New Roman" w:cs="Times New Roman"/>
                <w:color w:val="000000"/>
                <w:sz w:val="24"/>
                <w:szCs w:val="24"/>
              </w:rPr>
              <w:t>Industri</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30.</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PCAR</w:t>
            </w:r>
          </w:p>
        </w:tc>
        <w:tc>
          <w:tcPr>
            <w:tcW w:w="0" w:type="auto"/>
          </w:tcPr>
          <w:p w:rsidR="00EF62D4" w:rsidRPr="000E1E72" w:rsidRDefault="00D83EF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Prima </w:t>
            </w:r>
            <w:proofErr w:type="spellStart"/>
            <w:r w:rsidRPr="000E1E72">
              <w:rPr>
                <w:rFonts w:ascii="Times New Roman" w:eastAsia="Arial" w:hAnsi="Times New Roman" w:cs="Times New Roman"/>
                <w:color w:val="000000"/>
                <w:sz w:val="24"/>
                <w:szCs w:val="24"/>
              </w:rPr>
              <w:t>Cakrawala</w:t>
            </w:r>
            <w:proofErr w:type="spellEnd"/>
            <w:r w:rsidRPr="000E1E72">
              <w:rPr>
                <w:rFonts w:ascii="Times New Roman" w:eastAsia="Arial" w:hAnsi="Times New Roman" w:cs="Times New Roman"/>
                <w:color w:val="000000"/>
                <w:sz w:val="24"/>
                <w:szCs w:val="24"/>
              </w:rPr>
              <w:t xml:space="preserve"> Abadi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31.</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PMMP</w:t>
            </w:r>
          </w:p>
        </w:tc>
        <w:tc>
          <w:tcPr>
            <w:tcW w:w="0" w:type="auto"/>
          </w:tcPr>
          <w:p w:rsidR="00EF62D4" w:rsidRPr="000E1E72" w:rsidRDefault="00D33997"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Panca</w:t>
            </w:r>
            <w:proofErr w:type="spellEnd"/>
            <w:r w:rsidRPr="000E1E72">
              <w:rPr>
                <w:rFonts w:ascii="Times New Roman" w:eastAsia="Arial" w:hAnsi="Times New Roman" w:cs="Times New Roman"/>
                <w:color w:val="000000"/>
                <w:sz w:val="24"/>
                <w:szCs w:val="24"/>
              </w:rPr>
              <w:t xml:space="preserve"> Mitra </w:t>
            </w:r>
            <w:proofErr w:type="spellStart"/>
            <w:r w:rsidRPr="000E1E72">
              <w:rPr>
                <w:rFonts w:ascii="Times New Roman" w:eastAsia="Arial" w:hAnsi="Times New Roman" w:cs="Times New Roman"/>
                <w:color w:val="000000"/>
                <w:sz w:val="24"/>
                <w:szCs w:val="24"/>
              </w:rPr>
              <w:t>Multiperdana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32.</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PSDN</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Prasidha</w:t>
            </w:r>
            <w:proofErr w:type="spellEnd"/>
            <w:r w:rsidRPr="000E1E72">
              <w:rPr>
                <w:rFonts w:ascii="Times New Roman" w:eastAsia="Arial" w:hAnsi="Times New Roman" w:cs="Times New Roman"/>
                <w:color w:val="000000"/>
                <w:sz w:val="24"/>
                <w:szCs w:val="24"/>
              </w:rPr>
              <w:t xml:space="preserve"> Aneka </w:t>
            </w:r>
            <w:proofErr w:type="spellStart"/>
            <w:r w:rsidRPr="000E1E72">
              <w:rPr>
                <w:rFonts w:ascii="Times New Roman" w:eastAsia="Arial" w:hAnsi="Times New Roman" w:cs="Times New Roman"/>
                <w:color w:val="000000"/>
                <w:sz w:val="24"/>
                <w:szCs w:val="24"/>
              </w:rPr>
              <w:t>Niaga</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33.</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PSGO</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Palma </w:t>
            </w:r>
            <w:proofErr w:type="spellStart"/>
            <w:r w:rsidRPr="000E1E72">
              <w:rPr>
                <w:rFonts w:ascii="Times New Roman" w:eastAsia="Arial" w:hAnsi="Times New Roman" w:cs="Times New Roman"/>
                <w:color w:val="000000"/>
                <w:sz w:val="24"/>
                <w:szCs w:val="24"/>
              </w:rPr>
              <w:t>Serasih</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34.</w:t>
            </w:r>
          </w:p>
        </w:tc>
        <w:tc>
          <w:tcPr>
            <w:tcW w:w="0" w:type="auto"/>
          </w:tcPr>
          <w:p w:rsidR="00EF62D4" w:rsidRPr="000E1E72" w:rsidRDefault="004718C0"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ROTI</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Nippon </w:t>
            </w:r>
            <w:proofErr w:type="spellStart"/>
            <w:r w:rsidRPr="000E1E72">
              <w:rPr>
                <w:rFonts w:ascii="Times New Roman" w:eastAsia="Arial" w:hAnsi="Times New Roman" w:cs="Times New Roman"/>
                <w:color w:val="000000"/>
                <w:sz w:val="24"/>
                <w:szCs w:val="24"/>
              </w:rPr>
              <w:t>Indosari</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Corpindo</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35.</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SKBM</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Sekar</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Bumi</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36.</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SKLT</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Sekar</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Laut</w:t>
            </w:r>
            <w:proofErr w:type="spellEnd"/>
            <w:r w:rsidRPr="000E1E72">
              <w:rPr>
                <w:rFonts w:ascii="Times New Roman" w:eastAsia="Arial" w:hAnsi="Times New Roman" w:cs="Times New Roman"/>
                <w:color w:val="000000"/>
                <w:sz w:val="24"/>
                <w:szCs w:val="24"/>
              </w:rPr>
              <w:t xml:space="preserve">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37.</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STTP</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Siantar</w:t>
            </w:r>
            <w:proofErr w:type="spellEnd"/>
            <w:r w:rsidRPr="000E1E72">
              <w:rPr>
                <w:rFonts w:ascii="Times New Roman" w:eastAsia="Arial" w:hAnsi="Times New Roman" w:cs="Times New Roman"/>
                <w:color w:val="000000"/>
                <w:sz w:val="24"/>
                <w:szCs w:val="24"/>
              </w:rPr>
              <w:t xml:space="preserve"> Top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38.</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TAYS</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Jaya </w:t>
            </w:r>
            <w:proofErr w:type="spellStart"/>
            <w:r w:rsidRPr="000E1E72">
              <w:rPr>
                <w:rFonts w:ascii="Times New Roman" w:eastAsia="Arial" w:hAnsi="Times New Roman" w:cs="Times New Roman"/>
                <w:color w:val="000000"/>
                <w:sz w:val="24"/>
                <w:szCs w:val="24"/>
              </w:rPr>
              <w:t>Swarasa</w:t>
            </w:r>
            <w:proofErr w:type="spellEnd"/>
            <w:r w:rsidRPr="000E1E72">
              <w:rPr>
                <w:rFonts w:ascii="Times New Roman" w:eastAsia="Arial" w:hAnsi="Times New Roman" w:cs="Times New Roman"/>
                <w:color w:val="000000"/>
                <w:sz w:val="24"/>
                <w:szCs w:val="24"/>
              </w:rPr>
              <w:t xml:space="preserve"> Agung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39.</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TRGU</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proofErr w:type="spellStart"/>
            <w:r w:rsidRPr="000E1E72">
              <w:rPr>
                <w:rFonts w:ascii="Times New Roman" w:eastAsia="Arial" w:hAnsi="Times New Roman" w:cs="Times New Roman"/>
                <w:color w:val="000000"/>
                <w:sz w:val="24"/>
                <w:szCs w:val="24"/>
              </w:rPr>
              <w:t>Cerestar</w:t>
            </w:r>
            <w:proofErr w:type="spellEnd"/>
            <w:r w:rsidRPr="000E1E72">
              <w:rPr>
                <w:rFonts w:ascii="Times New Roman" w:eastAsia="Arial" w:hAnsi="Times New Roman" w:cs="Times New Roman"/>
                <w:color w:val="000000"/>
                <w:sz w:val="24"/>
                <w:szCs w:val="24"/>
              </w:rPr>
              <w:t xml:space="preserve"> Indonesia </w:t>
            </w:r>
            <w:proofErr w:type="spellStart"/>
            <w:r w:rsidRPr="000E1E72">
              <w:rPr>
                <w:rFonts w:ascii="Times New Roman" w:eastAsia="Arial" w:hAnsi="Times New Roman" w:cs="Times New Roman"/>
                <w:color w:val="000000"/>
                <w:sz w:val="24"/>
                <w:szCs w:val="24"/>
              </w:rPr>
              <w:t>Tbk</w:t>
            </w:r>
            <w:proofErr w:type="spellEnd"/>
          </w:p>
        </w:tc>
      </w:tr>
      <w:tr w:rsidR="00EF62D4" w:rsidRPr="000E1E72" w:rsidTr="00B241CA">
        <w:trPr>
          <w:jc w:val="center"/>
        </w:trPr>
        <w:tc>
          <w:tcPr>
            <w:tcW w:w="0" w:type="auto"/>
          </w:tcPr>
          <w:p w:rsidR="00EF62D4" w:rsidRPr="000E1E72" w:rsidRDefault="00D83EF7"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40.</w:t>
            </w:r>
          </w:p>
        </w:tc>
        <w:tc>
          <w:tcPr>
            <w:tcW w:w="0" w:type="auto"/>
          </w:tcPr>
          <w:p w:rsidR="00EF62D4"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ULTJ</w:t>
            </w:r>
          </w:p>
        </w:tc>
        <w:tc>
          <w:tcPr>
            <w:tcW w:w="0" w:type="auto"/>
          </w:tcPr>
          <w:p w:rsidR="00D33C4E" w:rsidRPr="000E1E72" w:rsidRDefault="00800C02"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Ultra Jaya Milk Industry and Trading Company </w:t>
            </w:r>
            <w:proofErr w:type="spellStart"/>
            <w:r w:rsidRPr="000E1E72">
              <w:rPr>
                <w:rFonts w:ascii="Times New Roman" w:eastAsia="Arial" w:hAnsi="Times New Roman" w:cs="Times New Roman"/>
                <w:color w:val="000000"/>
                <w:sz w:val="24"/>
                <w:szCs w:val="24"/>
              </w:rPr>
              <w:t>Tbk</w:t>
            </w:r>
            <w:proofErr w:type="spellEnd"/>
          </w:p>
        </w:tc>
      </w:tr>
      <w:tr w:rsidR="00202F43" w:rsidRPr="000E1E72" w:rsidTr="00B241CA">
        <w:trPr>
          <w:jc w:val="center"/>
        </w:trPr>
        <w:tc>
          <w:tcPr>
            <w:tcW w:w="0" w:type="auto"/>
          </w:tcPr>
          <w:p w:rsidR="00202F43" w:rsidRPr="000E1E72" w:rsidRDefault="00202F43"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41.</w:t>
            </w:r>
          </w:p>
        </w:tc>
        <w:tc>
          <w:tcPr>
            <w:tcW w:w="0" w:type="auto"/>
          </w:tcPr>
          <w:p w:rsidR="00202F43" w:rsidRPr="000E1E72" w:rsidRDefault="00202F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WMPP</w:t>
            </w:r>
          </w:p>
        </w:tc>
        <w:tc>
          <w:tcPr>
            <w:tcW w:w="0" w:type="auto"/>
          </w:tcPr>
          <w:p w:rsidR="00202F43" w:rsidRPr="000E1E72" w:rsidRDefault="00202F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Widodo </w:t>
            </w:r>
            <w:proofErr w:type="spellStart"/>
            <w:r w:rsidRPr="000E1E72">
              <w:rPr>
                <w:rFonts w:ascii="Times New Roman" w:eastAsia="Arial" w:hAnsi="Times New Roman" w:cs="Times New Roman"/>
                <w:color w:val="000000"/>
                <w:sz w:val="24"/>
                <w:szCs w:val="24"/>
              </w:rPr>
              <w:t>Makmur</w:t>
            </w:r>
            <w:proofErr w:type="spellEnd"/>
            <w:r w:rsidRPr="000E1E72">
              <w:rPr>
                <w:rFonts w:ascii="Times New Roman" w:eastAsia="Arial" w:hAnsi="Times New Roman" w:cs="Times New Roman"/>
                <w:color w:val="000000"/>
                <w:sz w:val="24"/>
                <w:szCs w:val="24"/>
              </w:rPr>
              <w:t xml:space="preserve"> Perkasa </w:t>
            </w:r>
            <w:proofErr w:type="spellStart"/>
            <w:r w:rsidRPr="000E1E72">
              <w:rPr>
                <w:rFonts w:ascii="Times New Roman" w:eastAsia="Arial" w:hAnsi="Times New Roman" w:cs="Times New Roman"/>
                <w:color w:val="000000"/>
                <w:sz w:val="24"/>
                <w:szCs w:val="24"/>
              </w:rPr>
              <w:t>Tbk</w:t>
            </w:r>
            <w:proofErr w:type="spellEnd"/>
          </w:p>
        </w:tc>
      </w:tr>
      <w:tr w:rsidR="00202F43" w:rsidRPr="000E1E72" w:rsidTr="00B241CA">
        <w:trPr>
          <w:jc w:val="center"/>
        </w:trPr>
        <w:tc>
          <w:tcPr>
            <w:tcW w:w="0" w:type="auto"/>
          </w:tcPr>
          <w:p w:rsidR="00202F43" w:rsidRPr="000E1E72" w:rsidRDefault="00202F43" w:rsidP="00970A21">
            <w:pPr>
              <w:spacing w:line="276" w:lineRule="auto"/>
              <w:jc w:val="center"/>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lastRenderedPageBreak/>
              <w:t>42.</w:t>
            </w:r>
          </w:p>
        </w:tc>
        <w:tc>
          <w:tcPr>
            <w:tcW w:w="0" w:type="auto"/>
          </w:tcPr>
          <w:p w:rsidR="00202F43" w:rsidRPr="000E1E72" w:rsidRDefault="00202F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WMUU</w:t>
            </w:r>
          </w:p>
        </w:tc>
        <w:tc>
          <w:tcPr>
            <w:tcW w:w="0" w:type="auto"/>
          </w:tcPr>
          <w:p w:rsidR="00202F43" w:rsidRPr="000E1E72" w:rsidRDefault="00202F43" w:rsidP="00970A21">
            <w:pPr>
              <w:spacing w:line="276" w:lineRule="auto"/>
              <w:jc w:val="both"/>
              <w:rPr>
                <w:rFonts w:ascii="Times New Roman" w:eastAsia="Arial" w:hAnsi="Times New Roman" w:cs="Times New Roman"/>
                <w:color w:val="000000"/>
                <w:sz w:val="24"/>
                <w:szCs w:val="24"/>
              </w:rPr>
            </w:pPr>
            <w:r w:rsidRPr="000E1E72">
              <w:rPr>
                <w:rFonts w:ascii="Times New Roman" w:eastAsia="Arial" w:hAnsi="Times New Roman" w:cs="Times New Roman"/>
                <w:color w:val="000000"/>
                <w:sz w:val="24"/>
                <w:szCs w:val="24"/>
              </w:rPr>
              <w:t xml:space="preserve">Widodo </w:t>
            </w:r>
            <w:proofErr w:type="spellStart"/>
            <w:r w:rsidRPr="000E1E72">
              <w:rPr>
                <w:rFonts w:ascii="Times New Roman" w:eastAsia="Arial" w:hAnsi="Times New Roman" w:cs="Times New Roman"/>
                <w:color w:val="000000"/>
                <w:sz w:val="24"/>
                <w:szCs w:val="24"/>
              </w:rPr>
              <w:t>Makmur</w:t>
            </w:r>
            <w:proofErr w:type="spellEnd"/>
            <w:r w:rsidRPr="000E1E72">
              <w:rPr>
                <w:rFonts w:ascii="Times New Roman" w:eastAsia="Arial" w:hAnsi="Times New Roman" w:cs="Times New Roman"/>
                <w:color w:val="000000"/>
                <w:sz w:val="24"/>
                <w:szCs w:val="24"/>
              </w:rPr>
              <w:t xml:space="preserve"> Poultry </w:t>
            </w:r>
            <w:proofErr w:type="spellStart"/>
            <w:r w:rsidRPr="000E1E72">
              <w:rPr>
                <w:rFonts w:ascii="Times New Roman" w:eastAsia="Arial" w:hAnsi="Times New Roman" w:cs="Times New Roman"/>
                <w:color w:val="000000"/>
                <w:sz w:val="24"/>
                <w:szCs w:val="24"/>
              </w:rPr>
              <w:t>Tbk</w:t>
            </w:r>
            <w:proofErr w:type="spellEnd"/>
          </w:p>
        </w:tc>
      </w:tr>
    </w:tbl>
    <w:p w:rsidR="009B11AC" w:rsidRPr="000E1E72" w:rsidRDefault="00800C02" w:rsidP="000E1E72">
      <w:pPr>
        <w:ind w:left="720" w:firstLine="720"/>
        <w:rPr>
          <w:rFonts w:ascii="Times New Roman" w:eastAsia="Arial" w:hAnsi="Times New Roman" w:cs="Times New Roman"/>
          <w:color w:val="000000"/>
          <w:sz w:val="24"/>
          <w:szCs w:val="24"/>
          <w:lang w:val="id-ID"/>
        </w:rPr>
      </w:pPr>
      <w:r w:rsidRPr="000E1E72">
        <w:rPr>
          <w:rFonts w:ascii="Times New Roman" w:eastAsia="Arial" w:hAnsi="Times New Roman" w:cs="Times New Roman"/>
          <w:color w:val="000000"/>
          <w:sz w:val="24"/>
          <w:szCs w:val="24"/>
        </w:rPr>
        <w:t>Source: Secondary data processed (2021)</w:t>
      </w:r>
    </w:p>
    <w:p w:rsidR="009B11AC" w:rsidRPr="000E1E72" w:rsidRDefault="00970A21" w:rsidP="000E1E72">
      <w:pPr>
        <w:spacing w:before="120" w:after="0"/>
        <w:jc w:val="both"/>
        <w:rPr>
          <w:rFonts w:asciiTheme="majorBidi" w:eastAsia="Arial" w:hAnsiTheme="majorBidi" w:cstheme="majorBidi"/>
          <w:b/>
          <w:bCs/>
          <w:color w:val="000000"/>
          <w:sz w:val="24"/>
          <w:szCs w:val="24"/>
          <w:lang w:val="id-ID"/>
        </w:rPr>
      </w:pPr>
      <w:r w:rsidRPr="000E1E72">
        <w:rPr>
          <w:rFonts w:asciiTheme="majorBidi" w:eastAsia="Arial" w:hAnsiTheme="majorBidi" w:cstheme="majorBidi"/>
          <w:b/>
          <w:bCs/>
          <w:color w:val="000000"/>
          <w:sz w:val="24"/>
          <w:szCs w:val="24"/>
          <w:lang w:val="id-ID"/>
        </w:rPr>
        <w:t>Sample</w:t>
      </w:r>
    </w:p>
    <w:p w:rsidR="00EF62D4" w:rsidRPr="000E1E72" w:rsidRDefault="009A0949" w:rsidP="000E1E72">
      <w:pPr>
        <w:spacing w:before="120" w:after="0"/>
        <w:jc w:val="both"/>
        <w:rPr>
          <w:rFonts w:asciiTheme="majorBidi" w:eastAsia="Arial" w:hAnsiTheme="majorBidi" w:cstheme="majorBidi"/>
          <w:color w:val="000000"/>
          <w:sz w:val="24"/>
          <w:szCs w:val="24"/>
        </w:rPr>
      </w:pPr>
      <w:r w:rsidRPr="000E1E72">
        <w:rPr>
          <w:rFonts w:asciiTheme="majorBidi" w:eastAsia="Arial" w:hAnsiTheme="majorBidi" w:cstheme="majorBidi"/>
          <w:color w:val="000000"/>
          <w:sz w:val="24"/>
          <w:szCs w:val="24"/>
          <w:lang w:val="id-ID"/>
        </w:rPr>
        <w:t>The sample in this research is a manufacturing company listed on the Indonesia Stock Exchange. The sample in this study used a purposive sampling technique. Purposive sampling technique is a technique of determining the sample by considering certain.</w:t>
      </w:r>
      <w:r w:rsidR="000E1E72" w:rsidRPr="000E1E72">
        <w:rPr>
          <w:rFonts w:asciiTheme="majorBidi" w:eastAsia="Arial" w:hAnsiTheme="majorBidi" w:cstheme="majorBidi"/>
          <w:color w:val="000000"/>
          <w:sz w:val="24"/>
          <w:szCs w:val="24"/>
        </w:rPr>
        <w:t xml:space="preserve"> </w:t>
      </w:r>
      <w:r w:rsidR="00D83EF7" w:rsidRPr="000E1E72">
        <w:rPr>
          <w:rFonts w:asciiTheme="majorBidi" w:eastAsia="Arial" w:hAnsiTheme="majorBidi" w:cstheme="majorBidi"/>
          <w:color w:val="000000"/>
          <w:sz w:val="24"/>
          <w:szCs w:val="24"/>
        </w:rPr>
        <w:t>The criteria that must be met by in this study are as follows:</w:t>
      </w:r>
    </w:p>
    <w:p w:rsidR="00EF62D4" w:rsidRPr="000E1E72" w:rsidRDefault="00D83EF7" w:rsidP="000E1E72">
      <w:pPr>
        <w:spacing w:before="120" w:after="0"/>
        <w:jc w:val="center"/>
        <w:rPr>
          <w:rFonts w:asciiTheme="majorBidi" w:eastAsia="Arial" w:hAnsiTheme="majorBidi" w:cstheme="majorBidi"/>
          <w:b/>
          <w:color w:val="000000"/>
          <w:sz w:val="24"/>
          <w:szCs w:val="24"/>
          <w:lang w:val="id-ID"/>
        </w:rPr>
      </w:pPr>
      <w:r w:rsidRPr="000E1E72">
        <w:rPr>
          <w:rFonts w:asciiTheme="majorBidi" w:eastAsia="Arial" w:hAnsiTheme="majorBidi" w:cstheme="majorBidi"/>
          <w:b/>
          <w:color w:val="000000"/>
          <w:sz w:val="24"/>
          <w:szCs w:val="24"/>
        </w:rPr>
        <w:t>Table 2</w:t>
      </w:r>
      <w:r w:rsidR="000E1E72" w:rsidRPr="000E1E72">
        <w:rPr>
          <w:rFonts w:asciiTheme="majorBidi" w:eastAsia="Arial" w:hAnsiTheme="majorBidi" w:cstheme="majorBidi"/>
          <w:b/>
          <w:color w:val="000000"/>
          <w:sz w:val="24"/>
          <w:szCs w:val="24"/>
        </w:rPr>
        <w:t xml:space="preserve">. </w:t>
      </w:r>
      <w:r w:rsidRPr="000E1E72">
        <w:rPr>
          <w:rFonts w:asciiTheme="majorBidi" w:eastAsia="Arial" w:hAnsiTheme="majorBidi" w:cstheme="majorBidi"/>
          <w:color w:val="000000"/>
          <w:sz w:val="24"/>
          <w:szCs w:val="24"/>
        </w:rPr>
        <w:t>Sampling Criteria</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8231"/>
        <w:gridCol w:w="1057"/>
      </w:tblGrid>
      <w:tr w:rsidR="00EF62D4" w:rsidRPr="000E1E72" w:rsidTr="000E1E72">
        <w:trPr>
          <w:trHeight w:val="57"/>
        </w:trPr>
        <w:tc>
          <w:tcPr>
            <w:tcW w:w="0" w:type="auto"/>
            <w:vAlign w:val="center"/>
          </w:tcPr>
          <w:p w:rsidR="00EF62D4" w:rsidRPr="000E1E72" w:rsidRDefault="00D83EF7" w:rsidP="000E1E72">
            <w:pPr>
              <w:spacing w:after="0"/>
              <w:jc w:val="center"/>
              <w:rPr>
                <w:rFonts w:asciiTheme="majorBidi" w:eastAsia="Arial" w:hAnsiTheme="majorBidi" w:cstheme="majorBidi"/>
                <w:b/>
                <w:color w:val="000000"/>
                <w:sz w:val="24"/>
                <w:szCs w:val="24"/>
              </w:rPr>
            </w:pPr>
            <w:r w:rsidRPr="000E1E72">
              <w:rPr>
                <w:rFonts w:asciiTheme="majorBidi" w:eastAsia="Arial" w:hAnsiTheme="majorBidi" w:cstheme="majorBidi"/>
                <w:b/>
                <w:color w:val="000000"/>
                <w:sz w:val="24"/>
                <w:szCs w:val="24"/>
              </w:rPr>
              <w:t>Information</w:t>
            </w:r>
          </w:p>
        </w:tc>
        <w:tc>
          <w:tcPr>
            <w:tcW w:w="0" w:type="auto"/>
            <w:vAlign w:val="center"/>
          </w:tcPr>
          <w:p w:rsidR="00EF62D4" w:rsidRPr="000E1E72" w:rsidRDefault="00D83EF7" w:rsidP="000E1E72">
            <w:pPr>
              <w:spacing w:after="0"/>
              <w:jc w:val="center"/>
              <w:rPr>
                <w:rFonts w:asciiTheme="majorBidi" w:eastAsia="Arial" w:hAnsiTheme="majorBidi" w:cstheme="majorBidi"/>
                <w:b/>
                <w:color w:val="000000"/>
                <w:sz w:val="24"/>
                <w:szCs w:val="24"/>
              </w:rPr>
            </w:pPr>
            <w:r w:rsidRPr="000E1E72">
              <w:rPr>
                <w:rFonts w:asciiTheme="majorBidi" w:eastAsia="Arial" w:hAnsiTheme="majorBidi" w:cstheme="majorBidi"/>
                <w:b/>
                <w:color w:val="000000"/>
                <w:sz w:val="24"/>
                <w:szCs w:val="24"/>
              </w:rPr>
              <w:t>Amount</w:t>
            </w:r>
          </w:p>
        </w:tc>
      </w:tr>
      <w:tr w:rsidR="00EF62D4" w:rsidRPr="000E1E72" w:rsidTr="000E1E72">
        <w:trPr>
          <w:trHeight w:val="57"/>
        </w:trPr>
        <w:tc>
          <w:tcPr>
            <w:tcW w:w="0" w:type="auto"/>
          </w:tcPr>
          <w:p w:rsidR="00EF62D4" w:rsidRPr="000E1E72" w:rsidRDefault="00D83EF7" w:rsidP="000E1E72">
            <w:pPr>
              <w:spacing w:after="0"/>
              <w:rPr>
                <w:rFonts w:asciiTheme="majorBidi" w:eastAsia="Arial" w:hAnsiTheme="majorBidi" w:cstheme="majorBidi"/>
                <w:bCs/>
                <w:color w:val="000000"/>
                <w:sz w:val="24"/>
                <w:szCs w:val="24"/>
              </w:rPr>
            </w:pPr>
            <w:r w:rsidRPr="000E1E72">
              <w:rPr>
                <w:rFonts w:asciiTheme="majorBidi" w:eastAsia="Arial" w:hAnsiTheme="majorBidi" w:cstheme="majorBidi"/>
                <w:bCs/>
                <w:color w:val="000000"/>
                <w:sz w:val="24"/>
                <w:szCs w:val="24"/>
              </w:rPr>
              <w:t>Food and beverage sector companies listed on the Indonesia Stock Exchange (IDX) 2019-2021.</w:t>
            </w:r>
          </w:p>
        </w:tc>
        <w:tc>
          <w:tcPr>
            <w:tcW w:w="0" w:type="auto"/>
          </w:tcPr>
          <w:p w:rsidR="00EF62D4" w:rsidRPr="000E1E72" w:rsidRDefault="00E10A99" w:rsidP="000E1E72">
            <w:pPr>
              <w:spacing w:after="0"/>
              <w:jc w:val="center"/>
              <w:rPr>
                <w:rFonts w:asciiTheme="majorBidi" w:eastAsia="Arial" w:hAnsiTheme="majorBidi" w:cstheme="majorBidi"/>
                <w:bCs/>
                <w:color w:val="000000"/>
                <w:sz w:val="24"/>
                <w:szCs w:val="24"/>
              </w:rPr>
            </w:pPr>
            <w:r w:rsidRPr="000E1E72">
              <w:rPr>
                <w:rFonts w:asciiTheme="majorBidi" w:eastAsia="Arial" w:hAnsiTheme="majorBidi" w:cstheme="majorBidi"/>
                <w:bCs/>
                <w:color w:val="000000"/>
                <w:sz w:val="24"/>
                <w:szCs w:val="24"/>
              </w:rPr>
              <w:t>42</w:t>
            </w:r>
          </w:p>
        </w:tc>
      </w:tr>
      <w:tr w:rsidR="00EF62D4" w:rsidRPr="000E1E72" w:rsidTr="000E1E72">
        <w:trPr>
          <w:trHeight w:val="57"/>
        </w:trPr>
        <w:tc>
          <w:tcPr>
            <w:tcW w:w="0" w:type="auto"/>
          </w:tcPr>
          <w:p w:rsidR="00EF62D4" w:rsidRPr="000E1E72" w:rsidRDefault="00D83EF7" w:rsidP="000E1E72">
            <w:pPr>
              <w:spacing w:after="0"/>
              <w:jc w:val="both"/>
              <w:rPr>
                <w:rFonts w:asciiTheme="majorBidi" w:eastAsia="Arial" w:hAnsiTheme="majorBidi" w:cstheme="majorBidi"/>
                <w:color w:val="000000"/>
                <w:sz w:val="24"/>
                <w:szCs w:val="24"/>
              </w:rPr>
            </w:pPr>
            <w:r w:rsidRPr="000E1E72">
              <w:rPr>
                <w:rFonts w:asciiTheme="majorBidi" w:eastAsia="Arial" w:hAnsiTheme="majorBidi" w:cstheme="majorBidi"/>
                <w:color w:val="000000"/>
                <w:sz w:val="24"/>
                <w:szCs w:val="24"/>
              </w:rPr>
              <w:t>Companies that do not issue annual reports consecutively during the study period, namely 2019-2021.</w:t>
            </w:r>
          </w:p>
        </w:tc>
        <w:tc>
          <w:tcPr>
            <w:tcW w:w="0" w:type="auto"/>
          </w:tcPr>
          <w:p w:rsidR="00EF62D4" w:rsidRPr="000E1E72" w:rsidRDefault="00E10A99" w:rsidP="000E1E72">
            <w:pPr>
              <w:spacing w:after="0"/>
              <w:jc w:val="center"/>
              <w:rPr>
                <w:rFonts w:asciiTheme="majorBidi" w:eastAsia="Arial" w:hAnsiTheme="majorBidi" w:cstheme="majorBidi"/>
                <w:color w:val="000000"/>
                <w:sz w:val="24"/>
                <w:szCs w:val="24"/>
              </w:rPr>
            </w:pPr>
            <w:r w:rsidRPr="000E1E72">
              <w:rPr>
                <w:rFonts w:asciiTheme="majorBidi" w:eastAsia="Arial" w:hAnsiTheme="majorBidi" w:cstheme="majorBidi"/>
                <w:color w:val="000000"/>
                <w:sz w:val="24"/>
                <w:szCs w:val="24"/>
              </w:rPr>
              <w:t>(8)</w:t>
            </w:r>
          </w:p>
        </w:tc>
      </w:tr>
      <w:tr w:rsidR="00EF62D4" w:rsidRPr="000E1E72" w:rsidTr="000E1E72">
        <w:trPr>
          <w:trHeight w:val="57"/>
        </w:trPr>
        <w:tc>
          <w:tcPr>
            <w:tcW w:w="0" w:type="auto"/>
          </w:tcPr>
          <w:p w:rsidR="00EF62D4" w:rsidRPr="000E1E72" w:rsidRDefault="00D83EF7" w:rsidP="000E1E72">
            <w:pPr>
              <w:spacing w:after="0"/>
              <w:jc w:val="both"/>
              <w:rPr>
                <w:rFonts w:asciiTheme="majorBidi" w:eastAsia="Arial" w:hAnsiTheme="majorBidi" w:cstheme="majorBidi"/>
                <w:color w:val="000000"/>
                <w:sz w:val="24"/>
                <w:szCs w:val="24"/>
              </w:rPr>
            </w:pPr>
            <w:r w:rsidRPr="000E1E72">
              <w:rPr>
                <w:rFonts w:asciiTheme="majorBidi" w:eastAsia="Arial" w:hAnsiTheme="majorBidi" w:cstheme="majorBidi"/>
                <w:color w:val="000000"/>
                <w:sz w:val="24"/>
                <w:szCs w:val="24"/>
              </w:rPr>
              <w:t>Companies in the Food and Beverage sector that do not present financial reports using the rupiah currency</w:t>
            </w:r>
          </w:p>
        </w:tc>
        <w:tc>
          <w:tcPr>
            <w:tcW w:w="0" w:type="auto"/>
          </w:tcPr>
          <w:p w:rsidR="00EF62D4" w:rsidRPr="000E1E72" w:rsidRDefault="00E10A99" w:rsidP="000E1E72">
            <w:pPr>
              <w:spacing w:after="0"/>
              <w:jc w:val="center"/>
              <w:rPr>
                <w:rFonts w:asciiTheme="majorBidi" w:eastAsia="Arial" w:hAnsiTheme="majorBidi" w:cstheme="majorBidi"/>
                <w:color w:val="000000"/>
                <w:sz w:val="24"/>
                <w:szCs w:val="24"/>
              </w:rPr>
            </w:pPr>
            <w:r w:rsidRPr="000E1E72">
              <w:rPr>
                <w:rFonts w:asciiTheme="majorBidi" w:eastAsia="Arial" w:hAnsiTheme="majorBidi" w:cstheme="majorBidi"/>
                <w:color w:val="000000"/>
                <w:sz w:val="24"/>
                <w:szCs w:val="24"/>
              </w:rPr>
              <w:t>(1)</w:t>
            </w:r>
          </w:p>
        </w:tc>
      </w:tr>
      <w:tr w:rsidR="00EF62D4" w:rsidRPr="000E1E72" w:rsidTr="000E1E72">
        <w:trPr>
          <w:trHeight w:val="57"/>
        </w:trPr>
        <w:tc>
          <w:tcPr>
            <w:tcW w:w="0" w:type="auto"/>
          </w:tcPr>
          <w:p w:rsidR="00EF62D4" w:rsidRPr="000E1E72" w:rsidRDefault="00D83EF7" w:rsidP="000E1E72">
            <w:pPr>
              <w:spacing w:after="0"/>
              <w:jc w:val="both"/>
              <w:rPr>
                <w:rFonts w:asciiTheme="majorBidi" w:eastAsia="Arial" w:hAnsiTheme="majorBidi" w:cstheme="majorBidi"/>
                <w:b/>
                <w:color w:val="000000"/>
                <w:sz w:val="24"/>
                <w:szCs w:val="24"/>
              </w:rPr>
            </w:pPr>
            <w:r w:rsidRPr="000E1E72">
              <w:rPr>
                <w:rFonts w:asciiTheme="majorBidi" w:eastAsia="Arial" w:hAnsiTheme="majorBidi" w:cstheme="majorBidi"/>
                <w:b/>
                <w:color w:val="000000"/>
                <w:sz w:val="24"/>
                <w:szCs w:val="24"/>
              </w:rPr>
              <w:t>Total number</w:t>
            </w:r>
          </w:p>
        </w:tc>
        <w:tc>
          <w:tcPr>
            <w:tcW w:w="0" w:type="auto"/>
          </w:tcPr>
          <w:p w:rsidR="00EF62D4" w:rsidRPr="000E1E72" w:rsidRDefault="00E10A99" w:rsidP="000E1E72">
            <w:pPr>
              <w:spacing w:after="0"/>
              <w:jc w:val="center"/>
              <w:rPr>
                <w:rFonts w:asciiTheme="majorBidi" w:eastAsia="Arial" w:hAnsiTheme="majorBidi" w:cstheme="majorBidi"/>
                <w:b/>
                <w:color w:val="000000"/>
                <w:sz w:val="24"/>
                <w:szCs w:val="24"/>
              </w:rPr>
            </w:pPr>
            <w:r w:rsidRPr="000E1E72">
              <w:rPr>
                <w:rFonts w:asciiTheme="majorBidi" w:eastAsia="Arial" w:hAnsiTheme="majorBidi" w:cstheme="majorBidi"/>
                <w:b/>
                <w:color w:val="000000"/>
                <w:sz w:val="24"/>
                <w:szCs w:val="24"/>
              </w:rPr>
              <w:t>33</w:t>
            </w:r>
          </w:p>
        </w:tc>
      </w:tr>
      <w:tr w:rsidR="00EF62D4" w:rsidRPr="000E1E72" w:rsidTr="000E1E72">
        <w:trPr>
          <w:trHeight w:val="57"/>
        </w:trPr>
        <w:tc>
          <w:tcPr>
            <w:tcW w:w="0" w:type="auto"/>
          </w:tcPr>
          <w:p w:rsidR="00EF62D4" w:rsidRPr="000E1E72" w:rsidRDefault="00D83EF7" w:rsidP="000E1E72">
            <w:pPr>
              <w:spacing w:after="0"/>
              <w:jc w:val="both"/>
              <w:rPr>
                <w:rFonts w:asciiTheme="majorBidi" w:eastAsia="Arial" w:hAnsiTheme="majorBidi" w:cstheme="majorBidi"/>
                <w:b/>
                <w:color w:val="000000"/>
                <w:sz w:val="24"/>
                <w:szCs w:val="24"/>
              </w:rPr>
            </w:pPr>
            <w:r w:rsidRPr="000E1E72">
              <w:rPr>
                <w:rFonts w:asciiTheme="majorBidi" w:eastAsia="Arial" w:hAnsiTheme="majorBidi" w:cstheme="majorBidi"/>
                <w:b/>
                <w:color w:val="000000"/>
                <w:sz w:val="24"/>
                <w:szCs w:val="24"/>
              </w:rPr>
              <w:t>Total number of observations (3 years)</w:t>
            </w:r>
          </w:p>
        </w:tc>
        <w:tc>
          <w:tcPr>
            <w:tcW w:w="0" w:type="auto"/>
          </w:tcPr>
          <w:p w:rsidR="00EF62D4" w:rsidRPr="000E1E72" w:rsidRDefault="00E10A99" w:rsidP="000E1E72">
            <w:pPr>
              <w:spacing w:after="0"/>
              <w:jc w:val="center"/>
              <w:rPr>
                <w:rFonts w:asciiTheme="majorBidi" w:eastAsia="Arial" w:hAnsiTheme="majorBidi" w:cstheme="majorBidi"/>
                <w:b/>
                <w:color w:val="000000"/>
                <w:sz w:val="24"/>
                <w:szCs w:val="24"/>
              </w:rPr>
            </w:pPr>
            <w:r w:rsidRPr="000E1E72">
              <w:rPr>
                <w:rFonts w:asciiTheme="majorBidi" w:eastAsia="Arial" w:hAnsiTheme="majorBidi" w:cstheme="majorBidi"/>
                <w:b/>
                <w:color w:val="000000"/>
                <w:sz w:val="24"/>
                <w:szCs w:val="24"/>
              </w:rPr>
              <w:t>99</w:t>
            </w:r>
          </w:p>
        </w:tc>
      </w:tr>
    </w:tbl>
    <w:p w:rsidR="00EF62D4" w:rsidRPr="000E1E72" w:rsidRDefault="00D83EF7" w:rsidP="000E1E72">
      <w:pPr>
        <w:jc w:val="both"/>
        <w:rPr>
          <w:rFonts w:asciiTheme="majorBidi" w:eastAsia="Arial" w:hAnsiTheme="majorBidi" w:cstheme="majorBidi"/>
          <w:color w:val="000000"/>
          <w:sz w:val="24"/>
          <w:szCs w:val="24"/>
          <w:lang w:val="id-ID"/>
        </w:rPr>
      </w:pPr>
      <w:r w:rsidRPr="000E1E72">
        <w:rPr>
          <w:rFonts w:asciiTheme="majorBidi" w:eastAsia="Arial" w:hAnsiTheme="majorBidi" w:cstheme="majorBidi"/>
          <w:color w:val="000000"/>
          <w:sz w:val="24"/>
          <w:szCs w:val="24"/>
        </w:rPr>
        <w:t>Source: Secondary data processed (2021)</w:t>
      </w:r>
    </w:p>
    <w:p w:rsidR="004D0B76" w:rsidRPr="00045915" w:rsidRDefault="00D83EF7" w:rsidP="00045915">
      <w:pPr>
        <w:spacing w:before="120" w:after="0"/>
        <w:jc w:val="both"/>
        <w:rPr>
          <w:rFonts w:asciiTheme="majorBidi" w:eastAsia="Arial" w:hAnsiTheme="majorBidi" w:cstheme="majorBidi"/>
          <w:color w:val="000000"/>
          <w:lang w:val="id-ID"/>
        </w:rPr>
      </w:pPr>
      <w:r w:rsidRPr="000E1E72">
        <w:rPr>
          <w:rFonts w:asciiTheme="majorBidi" w:eastAsia="Arial" w:hAnsiTheme="majorBidi" w:cstheme="majorBidi"/>
          <w:color w:val="000000"/>
          <w:sz w:val="24"/>
          <w:szCs w:val="24"/>
        </w:rPr>
        <w:t xml:space="preserve">Referring to the sample consideration criteria above, a sample of 33 companies was obtained based on the results of observations. The total observation period used in this study was 3 years. </w:t>
      </w:r>
      <w:proofErr w:type="gramStart"/>
      <w:r w:rsidRPr="000E1E72">
        <w:rPr>
          <w:rFonts w:asciiTheme="majorBidi" w:eastAsia="Arial" w:hAnsiTheme="majorBidi" w:cstheme="majorBidi"/>
          <w:color w:val="000000"/>
          <w:sz w:val="24"/>
          <w:szCs w:val="24"/>
        </w:rPr>
        <w:t>Thus</w:t>
      </w:r>
      <w:proofErr w:type="gramEnd"/>
      <w:r w:rsidRPr="000E1E72">
        <w:rPr>
          <w:rFonts w:asciiTheme="majorBidi" w:eastAsia="Arial" w:hAnsiTheme="majorBidi" w:cstheme="majorBidi"/>
          <w:color w:val="000000"/>
          <w:sz w:val="24"/>
          <w:szCs w:val="24"/>
        </w:rPr>
        <w:t xml:space="preserve"> the total data used is 99 data. The following is a list of companies that do not report (Annual Report) and companies that do not present (Annual Report) in the rupiah currency (RP) and a list of samples of companies in the food and beverage sector that are listed on the Indonesia Stock Exchange (IDX) for 2019-2021</w:t>
      </w:r>
      <w:r w:rsidRPr="008515CD">
        <w:rPr>
          <w:rFonts w:asciiTheme="majorBidi" w:eastAsia="Arial" w:hAnsiTheme="majorBidi" w:cstheme="majorBidi"/>
          <w:color w:val="000000"/>
        </w:rPr>
        <w:t>.</w:t>
      </w:r>
    </w:p>
    <w:p w:rsidR="00EF62D4" w:rsidRPr="004D0B76" w:rsidRDefault="009B11AC" w:rsidP="004D0B76">
      <w:pPr>
        <w:spacing w:after="0"/>
        <w:jc w:val="center"/>
        <w:rPr>
          <w:rFonts w:asciiTheme="majorBidi" w:eastAsia="Arial" w:hAnsiTheme="majorBidi" w:cstheme="majorBidi"/>
          <w:b/>
          <w:bCs/>
          <w:color w:val="000000"/>
          <w:sz w:val="24"/>
          <w:szCs w:val="24"/>
          <w:lang w:val="id-ID"/>
        </w:rPr>
      </w:pPr>
      <w:r w:rsidRPr="004D0B76">
        <w:rPr>
          <w:rFonts w:asciiTheme="majorBidi" w:eastAsia="Arial" w:hAnsiTheme="majorBidi" w:cstheme="majorBidi"/>
          <w:b/>
          <w:bCs/>
          <w:color w:val="000000"/>
          <w:sz w:val="24"/>
          <w:szCs w:val="24"/>
        </w:rPr>
        <w:t>Table 3</w:t>
      </w:r>
      <w:r w:rsidR="004D0B76" w:rsidRPr="004D0B76">
        <w:rPr>
          <w:rFonts w:asciiTheme="majorBidi" w:eastAsia="Arial" w:hAnsiTheme="majorBidi" w:cstheme="majorBidi"/>
          <w:b/>
          <w:bCs/>
          <w:color w:val="000000"/>
          <w:sz w:val="24"/>
          <w:szCs w:val="24"/>
        </w:rPr>
        <w:t xml:space="preserve">. </w:t>
      </w:r>
      <w:r w:rsidR="002F250D" w:rsidRPr="004D0B76">
        <w:rPr>
          <w:rFonts w:asciiTheme="majorBidi" w:eastAsia="Arial" w:hAnsiTheme="majorBidi" w:cstheme="majorBidi"/>
          <w:color w:val="000000"/>
          <w:sz w:val="24"/>
          <w:szCs w:val="24"/>
        </w:rPr>
        <w:t>List of Companies That Do Not Report (Annual Report) and Companies That Do Not Present (Annual Report) With Rupiah Currency (RP) AT IDX Research Period 2019-2021</w:t>
      </w:r>
      <w:r w:rsidR="004D0B76">
        <w:rPr>
          <w:rFonts w:asciiTheme="majorBidi" w:eastAsia="Arial" w:hAnsiTheme="majorBidi" w:cstheme="majorBidi"/>
          <w:color w:val="000000"/>
          <w:sz w:val="24"/>
          <w:szCs w:val="24"/>
        </w:rPr>
        <w: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288"/>
      </w:tblGrid>
      <w:tr w:rsidR="0021542C" w:rsidRPr="004D0B76" w:rsidTr="004D0B76">
        <w:trPr>
          <w:trHeight w:val="110"/>
          <w:jc w:val="center"/>
        </w:trPr>
        <w:tc>
          <w:tcPr>
            <w:tcW w:w="0" w:type="auto"/>
          </w:tcPr>
          <w:p w:rsidR="0021542C" w:rsidRPr="004D0B76" w:rsidRDefault="002413F0" w:rsidP="004D0B76">
            <w:pPr>
              <w:jc w:val="both"/>
              <w:rPr>
                <w:rFonts w:asciiTheme="majorBidi" w:eastAsia="Arial" w:hAnsiTheme="majorBidi" w:cstheme="majorBidi"/>
                <w:b/>
                <w:bCs/>
                <w:color w:val="000000"/>
                <w:sz w:val="24"/>
                <w:szCs w:val="24"/>
              </w:rPr>
            </w:pPr>
            <w:r w:rsidRPr="004D0B76">
              <w:rPr>
                <w:rFonts w:asciiTheme="majorBidi" w:eastAsia="Arial" w:hAnsiTheme="majorBidi" w:cstheme="majorBidi"/>
                <w:b/>
                <w:bCs/>
                <w:color w:val="000000"/>
                <w:sz w:val="24"/>
                <w:szCs w:val="24"/>
              </w:rPr>
              <w:t>Companies That Do Not Report (Annual Report) During the 2019-2021 Research Period.</w:t>
            </w:r>
          </w:p>
        </w:tc>
      </w:tr>
      <w:tr w:rsidR="0021542C" w:rsidRPr="004D0B76" w:rsidTr="004D0B76">
        <w:trPr>
          <w:trHeight w:val="56"/>
          <w:jc w:val="center"/>
        </w:trPr>
        <w:tc>
          <w:tcPr>
            <w:tcW w:w="0" w:type="auto"/>
          </w:tcPr>
          <w:p w:rsidR="0021542C" w:rsidRPr="004D0B76" w:rsidRDefault="002413F0"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1. </w:t>
            </w:r>
            <w:proofErr w:type="spellStart"/>
            <w:r w:rsidRPr="004D0B76">
              <w:rPr>
                <w:rFonts w:asciiTheme="majorBidi" w:eastAsia="Arial" w:hAnsiTheme="majorBidi" w:cstheme="majorBidi"/>
                <w:color w:val="000000"/>
                <w:sz w:val="24"/>
                <w:szCs w:val="24"/>
              </w:rPr>
              <w:t>Cisarua</w:t>
            </w:r>
            <w:proofErr w:type="spellEnd"/>
            <w:r w:rsidRPr="004D0B76">
              <w:rPr>
                <w:rFonts w:asciiTheme="majorBidi" w:eastAsia="Arial" w:hAnsiTheme="majorBidi" w:cstheme="majorBidi"/>
                <w:color w:val="000000"/>
                <w:sz w:val="24"/>
                <w:szCs w:val="24"/>
              </w:rPr>
              <w:t xml:space="preserve"> Mountain Dairy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(CMRY)</w:t>
            </w:r>
          </w:p>
        </w:tc>
      </w:tr>
      <w:tr w:rsidR="0021542C" w:rsidRPr="004D0B76" w:rsidTr="004D0B76">
        <w:trPr>
          <w:trHeight w:val="56"/>
          <w:jc w:val="center"/>
        </w:trPr>
        <w:tc>
          <w:tcPr>
            <w:tcW w:w="0" w:type="auto"/>
          </w:tcPr>
          <w:p w:rsidR="0021542C" w:rsidRPr="004D0B76" w:rsidRDefault="002413F0"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2. Toba Surimi Industries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(CRAB)</w:t>
            </w:r>
          </w:p>
        </w:tc>
      </w:tr>
      <w:tr w:rsidR="0021542C" w:rsidRPr="004D0B76" w:rsidTr="004D0B76">
        <w:trPr>
          <w:trHeight w:val="54"/>
          <w:jc w:val="center"/>
        </w:trPr>
        <w:tc>
          <w:tcPr>
            <w:tcW w:w="0" w:type="auto"/>
          </w:tcPr>
          <w:p w:rsidR="0021542C" w:rsidRPr="004D0B76" w:rsidRDefault="002413F0"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3. Indo Boga </w:t>
            </w:r>
            <w:proofErr w:type="spellStart"/>
            <w:r w:rsidRPr="004D0B76">
              <w:rPr>
                <w:rFonts w:asciiTheme="majorBidi" w:eastAsia="Arial" w:hAnsiTheme="majorBidi" w:cstheme="majorBidi"/>
                <w:color w:val="000000"/>
                <w:sz w:val="24"/>
                <w:szCs w:val="24"/>
              </w:rPr>
              <w:t>Sukses</w:t>
            </w:r>
            <w:proofErr w:type="spellEnd"/>
            <w:r w:rsidRPr="004D0B76">
              <w:rPr>
                <w:rFonts w:asciiTheme="majorBidi" w:eastAsia="Arial" w:hAnsiTheme="majorBidi" w:cstheme="majorBidi"/>
                <w:color w:val="000000"/>
                <w:sz w:val="24"/>
                <w:szCs w:val="24"/>
              </w:rPr>
              <w:t xml:space="preserve">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(IBOS)</w:t>
            </w:r>
          </w:p>
        </w:tc>
      </w:tr>
      <w:tr w:rsidR="0021542C" w:rsidRPr="004D0B76" w:rsidTr="004D0B76">
        <w:trPr>
          <w:trHeight w:val="56"/>
          <w:jc w:val="center"/>
        </w:trPr>
        <w:tc>
          <w:tcPr>
            <w:tcW w:w="0" w:type="auto"/>
          </w:tcPr>
          <w:p w:rsidR="0021542C" w:rsidRPr="004D0B76" w:rsidRDefault="00733478"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4. Indo </w:t>
            </w:r>
            <w:proofErr w:type="spellStart"/>
            <w:r w:rsidRPr="004D0B76">
              <w:rPr>
                <w:rFonts w:asciiTheme="majorBidi" w:eastAsia="Arial" w:hAnsiTheme="majorBidi" w:cstheme="majorBidi"/>
                <w:color w:val="000000"/>
                <w:sz w:val="24"/>
                <w:szCs w:val="24"/>
              </w:rPr>
              <w:t>Pureco</w:t>
            </w:r>
            <w:proofErr w:type="spellEnd"/>
            <w:r w:rsidRPr="004D0B76">
              <w:rPr>
                <w:rFonts w:asciiTheme="majorBidi" w:eastAsia="Arial" w:hAnsiTheme="majorBidi" w:cstheme="majorBidi"/>
                <w:color w:val="000000"/>
                <w:sz w:val="24"/>
                <w:szCs w:val="24"/>
              </w:rPr>
              <w:t xml:space="preserve"> </w:t>
            </w:r>
            <w:proofErr w:type="spellStart"/>
            <w:r w:rsidRPr="004D0B76">
              <w:rPr>
                <w:rFonts w:asciiTheme="majorBidi" w:eastAsia="Arial" w:hAnsiTheme="majorBidi" w:cstheme="majorBidi"/>
                <w:color w:val="000000"/>
                <w:sz w:val="24"/>
                <w:szCs w:val="24"/>
              </w:rPr>
              <w:t>Pratama</w:t>
            </w:r>
            <w:proofErr w:type="spellEnd"/>
            <w:r w:rsidRPr="004D0B76">
              <w:rPr>
                <w:rFonts w:asciiTheme="majorBidi" w:eastAsia="Arial" w:hAnsiTheme="majorBidi" w:cstheme="majorBidi"/>
                <w:color w:val="000000"/>
                <w:sz w:val="24"/>
                <w:szCs w:val="24"/>
              </w:rPr>
              <w:t xml:space="preserve">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(IPPE)</w:t>
            </w:r>
          </w:p>
        </w:tc>
      </w:tr>
      <w:tr w:rsidR="0021542C" w:rsidRPr="004D0B76" w:rsidTr="004D0B76">
        <w:trPr>
          <w:trHeight w:val="56"/>
          <w:jc w:val="center"/>
        </w:trPr>
        <w:tc>
          <w:tcPr>
            <w:tcW w:w="0" w:type="auto"/>
          </w:tcPr>
          <w:p w:rsidR="0021542C" w:rsidRPr="004D0B76" w:rsidRDefault="00733478"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5. </w:t>
            </w:r>
            <w:proofErr w:type="spellStart"/>
            <w:r w:rsidRPr="004D0B76">
              <w:rPr>
                <w:rFonts w:asciiTheme="majorBidi" w:eastAsia="Arial" w:hAnsiTheme="majorBidi" w:cstheme="majorBidi"/>
                <w:color w:val="000000"/>
                <w:sz w:val="24"/>
                <w:szCs w:val="24"/>
              </w:rPr>
              <w:t>Wahana</w:t>
            </w:r>
            <w:proofErr w:type="spellEnd"/>
            <w:r w:rsidRPr="004D0B76">
              <w:rPr>
                <w:rFonts w:asciiTheme="majorBidi" w:eastAsia="Arial" w:hAnsiTheme="majorBidi" w:cstheme="majorBidi"/>
                <w:color w:val="000000"/>
                <w:sz w:val="24"/>
                <w:szCs w:val="24"/>
              </w:rPr>
              <w:t xml:space="preserve"> Inti </w:t>
            </w:r>
            <w:proofErr w:type="spellStart"/>
            <w:r w:rsidRPr="004D0B76">
              <w:rPr>
                <w:rFonts w:asciiTheme="majorBidi" w:eastAsia="Arial" w:hAnsiTheme="majorBidi" w:cstheme="majorBidi"/>
                <w:color w:val="000000"/>
                <w:sz w:val="24"/>
                <w:szCs w:val="24"/>
              </w:rPr>
              <w:t>Makmur</w:t>
            </w:r>
            <w:proofErr w:type="spellEnd"/>
            <w:r w:rsidRPr="004D0B76">
              <w:rPr>
                <w:rFonts w:asciiTheme="majorBidi" w:eastAsia="Arial" w:hAnsiTheme="majorBidi" w:cstheme="majorBidi"/>
                <w:color w:val="000000"/>
                <w:sz w:val="24"/>
                <w:szCs w:val="24"/>
              </w:rPr>
              <w:t xml:space="preserve">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(NASI)</w:t>
            </w:r>
          </w:p>
        </w:tc>
      </w:tr>
      <w:tr w:rsidR="0021542C" w:rsidRPr="004D0B76" w:rsidTr="004D0B76">
        <w:trPr>
          <w:trHeight w:val="54"/>
          <w:jc w:val="center"/>
        </w:trPr>
        <w:tc>
          <w:tcPr>
            <w:tcW w:w="0" w:type="auto"/>
          </w:tcPr>
          <w:p w:rsidR="0021542C" w:rsidRPr="004D0B76" w:rsidRDefault="00733478"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6. Jaya </w:t>
            </w:r>
            <w:proofErr w:type="spellStart"/>
            <w:r w:rsidRPr="004D0B76">
              <w:rPr>
                <w:rFonts w:asciiTheme="majorBidi" w:eastAsia="Arial" w:hAnsiTheme="majorBidi" w:cstheme="majorBidi"/>
                <w:color w:val="000000"/>
                <w:sz w:val="24"/>
                <w:szCs w:val="24"/>
              </w:rPr>
              <w:t>Swarasa</w:t>
            </w:r>
            <w:proofErr w:type="spellEnd"/>
            <w:r w:rsidRPr="004D0B76">
              <w:rPr>
                <w:rFonts w:asciiTheme="majorBidi" w:eastAsia="Arial" w:hAnsiTheme="majorBidi" w:cstheme="majorBidi"/>
                <w:color w:val="000000"/>
                <w:sz w:val="24"/>
                <w:szCs w:val="24"/>
              </w:rPr>
              <w:t xml:space="preserve"> Agung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(TAYS)</w:t>
            </w:r>
          </w:p>
        </w:tc>
      </w:tr>
      <w:tr w:rsidR="0021542C" w:rsidRPr="004D0B76" w:rsidTr="004D0B76">
        <w:trPr>
          <w:trHeight w:val="56"/>
          <w:jc w:val="center"/>
        </w:trPr>
        <w:tc>
          <w:tcPr>
            <w:tcW w:w="0" w:type="auto"/>
          </w:tcPr>
          <w:p w:rsidR="0021542C" w:rsidRPr="004D0B76" w:rsidRDefault="00733478"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7. </w:t>
            </w:r>
            <w:proofErr w:type="spellStart"/>
            <w:r w:rsidRPr="004D0B76">
              <w:rPr>
                <w:rFonts w:asciiTheme="majorBidi" w:eastAsia="Arial" w:hAnsiTheme="majorBidi" w:cstheme="majorBidi"/>
                <w:color w:val="000000"/>
                <w:sz w:val="24"/>
                <w:szCs w:val="24"/>
              </w:rPr>
              <w:t>Cerestar</w:t>
            </w:r>
            <w:proofErr w:type="spellEnd"/>
            <w:r w:rsidRPr="004D0B76">
              <w:rPr>
                <w:rFonts w:asciiTheme="majorBidi" w:eastAsia="Arial" w:hAnsiTheme="majorBidi" w:cstheme="majorBidi"/>
                <w:color w:val="000000"/>
                <w:sz w:val="24"/>
                <w:szCs w:val="24"/>
              </w:rPr>
              <w:t xml:space="preserve"> Indonesia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(TRGU)</w:t>
            </w:r>
          </w:p>
        </w:tc>
      </w:tr>
      <w:tr w:rsidR="0021542C" w:rsidRPr="004D0B76" w:rsidTr="004D0B76">
        <w:trPr>
          <w:trHeight w:val="56"/>
          <w:jc w:val="center"/>
        </w:trPr>
        <w:tc>
          <w:tcPr>
            <w:tcW w:w="0" w:type="auto"/>
          </w:tcPr>
          <w:p w:rsidR="0021542C" w:rsidRPr="004D0B76" w:rsidRDefault="00733478"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8. Widodo </w:t>
            </w:r>
            <w:proofErr w:type="spellStart"/>
            <w:r w:rsidRPr="004D0B76">
              <w:rPr>
                <w:rFonts w:asciiTheme="majorBidi" w:eastAsia="Arial" w:hAnsiTheme="majorBidi" w:cstheme="majorBidi"/>
                <w:color w:val="000000"/>
                <w:sz w:val="24"/>
                <w:szCs w:val="24"/>
              </w:rPr>
              <w:t>Makmur</w:t>
            </w:r>
            <w:proofErr w:type="spellEnd"/>
            <w:r w:rsidRPr="004D0B76">
              <w:rPr>
                <w:rFonts w:asciiTheme="majorBidi" w:eastAsia="Arial" w:hAnsiTheme="majorBidi" w:cstheme="majorBidi"/>
                <w:color w:val="000000"/>
                <w:sz w:val="24"/>
                <w:szCs w:val="24"/>
              </w:rPr>
              <w:t xml:space="preserve"> Perkasa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(WMPP)</w:t>
            </w:r>
          </w:p>
        </w:tc>
      </w:tr>
      <w:tr w:rsidR="0021542C" w:rsidRPr="004D0B76" w:rsidTr="004D0B76">
        <w:trPr>
          <w:trHeight w:val="110"/>
          <w:jc w:val="center"/>
        </w:trPr>
        <w:tc>
          <w:tcPr>
            <w:tcW w:w="0" w:type="auto"/>
          </w:tcPr>
          <w:p w:rsidR="0021542C" w:rsidRPr="004D0B76" w:rsidRDefault="007350D9" w:rsidP="004D0B76">
            <w:pPr>
              <w:rPr>
                <w:rFonts w:asciiTheme="majorBidi" w:eastAsia="Arial" w:hAnsiTheme="majorBidi" w:cstheme="majorBidi"/>
                <w:b/>
                <w:bCs/>
                <w:color w:val="000000"/>
                <w:sz w:val="24"/>
                <w:szCs w:val="24"/>
              </w:rPr>
            </w:pPr>
            <w:r w:rsidRPr="004D0B76">
              <w:rPr>
                <w:rFonts w:asciiTheme="majorBidi" w:eastAsia="Arial" w:hAnsiTheme="majorBidi" w:cstheme="majorBidi"/>
                <w:b/>
                <w:bCs/>
                <w:color w:val="000000"/>
                <w:sz w:val="24"/>
                <w:szCs w:val="24"/>
              </w:rPr>
              <w:t>Companies That Do Not Present (Annual Reports) in Rupiah Currency (RP) During the 2019-2021 Research Period.</w:t>
            </w:r>
          </w:p>
        </w:tc>
      </w:tr>
      <w:tr w:rsidR="0021542C" w:rsidRPr="004D0B76" w:rsidTr="004D0B76">
        <w:trPr>
          <w:trHeight w:val="56"/>
          <w:jc w:val="center"/>
        </w:trPr>
        <w:tc>
          <w:tcPr>
            <w:tcW w:w="0" w:type="auto"/>
          </w:tcPr>
          <w:p w:rsidR="007350D9" w:rsidRPr="004D0B76" w:rsidRDefault="007350D9" w:rsidP="00970A21">
            <w:pPr>
              <w:spacing w:line="276" w:lineRule="auto"/>
              <w:jc w:val="both"/>
              <w:rPr>
                <w:rFonts w:asciiTheme="majorBidi" w:eastAsia="Arial" w:hAnsiTheme="majorBidi" w:cstheme="majorBidi"/>
                <w:color w:val="000000"/>
                <w:sz w:val="24"/>
                <w:szCs w:val="24"/>
              </w:rPr>
            </w:pPr>
            <w:r w:rsidRPr="004D0B76">
              <w:rPr>
                <w:rFonts w:asciiTheme="majorBidi" w:eastAsia="Arial" w:hAnsiTheme="majorBidi" w:cstheme="majorBidi"/>
                <w:color w:val="000000"/>
                <w:sz w:val="24"/>
                <w:szCs w:val="24"/>
              </w:rPr>
              <w:t xml:space="preserve">1. </w:t>
            </w:r>
            <w:proofErr w:type="spellStart"/>
            <w:r w:rsidRPr="004D0B76">
              <w:rPr>
                <w:rFonts w:asciiTheme="majorBidi" w:eastAsia="Arial" w:hAnsiTheme="majorBidi" w:cstheme="majorBidi"/>
                <w:color w:val="000000"/>
                <w:sz w:val="24"/>
                <w:szCs w:val="24"/>
              </w:rPr>
              <w:t>Panca</w:t>
            </w:r>
            <w:proofErr w:type="spellEnd"/>
            <w:r w:rsidRPr="004D0B76">
              <w:rPr>
                <w:rFonts w:asciiTheme="majorBidi" w:eastAsia="Arial" w:hAnsiTheme="majorBidi" w:cstheme="majorBidi"/>
                <w:color w:val="000000"/>
                <w:sz w:val="24"/>
                <w:szCs w:val="24"/>
              </w:rPr>
              <w:t xml:space="preserve"> Mitra </w:t>
            </w:r>
            <w:proofErr w:type="spellStart"/>
            <w:r w:rsidRPr="004D0B76">
              <w:rPr>
                <w:rFonts w:asciiTheme="majorBidi" w:eastAsia="Arial" w:hAnsiTheme="majorBidi" w:cstheme="majorBidi"/>
                <w:color w:val="000000"/>
                <w:sz w:val="24"/>
                <w:szCs w:val="24"/>
              </w:rPr>
              <w:t>Multiperdana</w:t>
            </w:r>
            <w:proofErr w:type="spellEnd"/>
            <w:r w:rsidRPr="004D0B76">
              <w:rPr>
                <w:rFonts w:asciiTheme="majorBidi" w:eastAsia="Arial" w:hAnsiTheme="majorBidi" w:cstheme="majorBidi"/>
                <w:color w:val="000000"/>
                <w:sz w:val="24"/>
                <w:szCs w:val="24"/>
              </w:rPr>
              <w:t xml:space="preserve"> </w:t>
            </w:r>
            <w:proofErr w:type="spellStart"/>
            <w:r w:rsidRPr="004D0B76">
              <w:rPr>
                <w:rFonts w:asciiTheme="majorBidi" w:eastAsia="Arial" w:hAnsiTheme="majorBidi" w:cstheme="majorBidi"/>
                <w:color w:val="000000"/>
                <w:sz w:val="24"/>
                <w:szCs w:val="24"/>
              </w:rPr>
              <w:t>Tbk</w:t>
            </w:r>
            <w:proofErr w:type="spellEnd"/>
            <w:r w:rsidRPr="004D0B76">
              <w:rPr>
                <w:rFonts w:asciiTheme="majorBidi" w:eastAsia="Arial" w:hAnsiTheme="majorBidi" w:cstheme="majorBidi"/>
                <w:color w:val="000000"/>
                <w:sz w:val="24"/>
                <w:szCs w:val="24"/>
              </w:rPr>
              <w:t xml:space="preserve"> (PMMP)</w:t>
            </w:r>
          </w:p>
        </w:tc>
      </w:tr>
    </w:tbl>
    <w:p w:rsidR="00CD020B" w:rsidRPr="00CD020B" w:rsidRDefault="00CD020B" w:rsidP="00CD020B">
      <w:pPr>
        <w:jc w:val="both"/>
        <w:rPr>
          <w:rFonts w:asciiTheme="majorBidi" w:eastAsia="Arial" w:hAnsiTheme="majorBidi" w:cstheme="majorBidi"/>
          <w:color w:val="000000"/>
          <w:sz w:val="24"/>
          <w:lang w:val="id-ID"/>
        </w:rPr>
      </w:pPr>
      <w:r w:rsidRPr="00CD020B">
        <w:rPr>
          <w:rFonts w:asciiTheme="majorBidi" w:eastAsia="Arial" w:hAnsiTheme="majorBidi" w:cstheme="majorBidi"/>
          <w:color w:val="000000"/>
          <w:sz w:val="24"/>
        </w:rPr>
        <w:t>Source: Secondary data processed (2021)</w:t>
      </w:r>
    </w:p>
    <w:p w:rsidR="00EF62D4" w:rsidRPr="00CD020B" w:rsidRDefault="00EF62D4" w:rsidP="00970A21">
      <w:pPr>
        <w:spacing w:after="0"/>
        <w:jc w:val="both"/>
        <w:rPr>
          <w:rFonts w:asciiTheme="majorBidi" w:eastAsia="Arial" w:hAnsiTheme="majorBidi" w:cstheme="majorBidi"/>
          <w:color w:val="000000"/>
          <w:sz w:val="24"/>
          <w:szCs w:val="24"/>
        </w:rPr>
      </w:pPr>
    </w:p>
    <w:p w:rsidR="00EF62D4" w:rsidRPr="00CD020B" w:rsidRDefault="009B11AC" w:rsidP="00CD020B">
      <w:pPr>
        <w:spacing w:after="0"/>
        <w:jc w:val="center"/>
        <w:rPr>
          <w:rFonts w:ascii="Times New Roman" w:eastAsia="Arial" w:hAnsi="Times New Roman" w:cs="Times New Roman"/>
          <w:b/>
          <w:color w:val="000000"/>
          <w:sz w:val="24"/>
          <w:szCs w:val="24"/>
        </w:rPr>
      </w:pPr>
      <w:r w:rsidRPr="00CD020B">
        <w:rPr>
          <w:rFonts w:ascii="Times New Roman" w:eastAsia="Arial" w:hAnsi="Times New Roman" w:cs="Times New Roman"/>
          <w:b/>
          <w:color w:val="000000"/>
          <w:sz w:val="24"/>
          <w:szCs w:val="24"/>
        </w:rPr>
        <w:lastRenderedPageBreak/>
        <w:t>Table 4</w:t>
      </w:r>
      <w:r w:rsidR="00CD020B">
        <w:rPr>
          <w:rFonts w:ascii="Times New Roman" w:eastAsia="Arial" w:hAnsi="Times New Roman" w:cs="Times New Roman"/>
          <w:b/>
          <w:color w:val="000000"/>
          <w:sz w:val="24"/>
          <w:szCs w:val="24"/>
        </w:rPr>
        <w:t xml:space="preserve">. </w:t>
      </w:r>
      <w:r w:rsidR="00D83EF7" w:rsidRPr="00CD020B">
        <w:rPr>
          <w:rFonts w:ascii="Times New Roman" w:eastAsia="Arial" w:hAnsi="Times New Roman" w:cs="Times New Roman"/>
          <w:color w:val="000000"/>
          <w:sz w:val="24"/>
          <w:szCs w:val="24"/>
        </w:rPr>
        <w:t>List of Sample Companies in the Food and Beverage Sector Listed on the Indonesia Stock Exchange (IDX) 2019-2021</w:t>
      </w:r>
    </w:p>
    <w:tbl>
      <w:tblPr>
        <w:tblStyle w:val="Style41"/>
        <w:tblW w:w="718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671"/>
        <w:gridCol w:w="1183"/>
        <w:gridCol w:w="5331"/>
      </w:tblGrid>
      <w:tr w:rsidR="00EF62D4" w:rsidRPr="00CD020B" w:rsidTr="00CD020B">
        <w:trPr>
          <w:jc w:val="center"/>
        </w:trPr>
        <w:tc>
          <w:tcPr>
            <w:tcW w:w="671" w:type="dxa"/>
            <w:vAlign w:val="center"/>
          </w:tcPr>
          <w:p w:rsidR="00EF62D4" w:rsidRPr="00CD020B" w:rsidRDefault="00D83EF7" w:rsidP="00970A21">
            <w:pPr>
              <w:spacing w:line="276" w:lineRule="auto"/>
              <w:jc w:val="center"/>
              <w:rPr>
                <w:rFonts w:ascii="Times New Roman" w:eastAsia="Arial" w:hAnsi="Times New Roman" w:cs="Times New Roman"/>
                <w:b/>
                <w:color w:val="000000"/>
                <w:sz w:val="24"/>
                <w:szCs w:val="24"/>
              </w:rPr>
            </w:pPr>
            <w:r w:rsidRPr="00CD020B">
              <w:rPr>
                <w:rFonts w:ascii="Times New Roman" w:eastAsia="Arial" w:hAnsi="Times New Roman" w:cs="Times New Roman"/>
                <w:b/>
                <w:color w:val="000000"/>
                <w:sz w:val="24"/>
                <w:szCs w:val="24"/>
              </w:rPr>
              <w:t>No</w:t>
            </w:r>
          </w:p>
        </w:tc>
        <w:tc>
          <w:tcPr>
            <w:tcW w:w="1183" w:type="dxa"/>
            <w:vAlign w:val="center"/>
          </w:tcPr>
          <w:p w:rsidR="00EF62D4" w:rsidRPr="00CD020B" w:rsidRDefault="00D83EF7" w:rsidP="00970A21">
            <w:pPr>
              <w:spacing w:line="276" w:lineRule="auto"/>
              <w:jc w:val="center"/>
              <w:rPr>
                <w:rFonts w:ascii="Times New Roman" w:eastAsia="Arial" w:hAnsi="Times New Roman" w:cs="Times New Roman"/>
                <w:b/>
                <w:color w:val="000000"/>
                <w:sz w:val="24"/>
                <w:szCs w:val="24"/>
              </w:rPr>
            </w:pPr>
            <w:r w:rsidRPr="00CD020B">
              <w:rPr>
                <w:rFonts w:ascii="Times New Roman" w:eastAsia="Arial" w:hAnsi="Times New Roman" w:cs="Times New Roman"/>
                <w:b/>
                <w:color w:val="000000"/>
                <w:sz w:val="24"/>
                <w:szCs w:val="24"/>
              </w:rPr>
              <w:t>Code</w:t>
            </w:r>
          </w:p>
        </w:tc>
        <w:tc>
          <w:tcPr>
            <w:tcW w:w="5331" w:type="dxa"/>
            <w:vAlign w:val="center"/>
          </w:tcPr>
          <w:p w:rsidR="00EF62D4" w:rsidRPr="00CD020B" w:rsidRDefault="00D83EF7" w:rsidP="00970A21">
            <w:pPr>
              <w:spacing w:line="276" w:lineRule="auto"/>
              <w:jc w:val="center"/>
              <w:rPr>
                <w:rFonts w:ascii="Times New Roman" w:eastAsia="Arial" w:hAnsi="Times New Roman" w:cs="Times New Roman"/>
                <w:b/>
                <w:color w:val="000000"/>
                <w:sz w:val="24"/>
                <w:szCs w:val="24"/>
              </w:rPr>
            </w:pPr>
            <w:r w:rsidRPr="00CD020B">
              <w:rPr>
                <w:rFonts w:ascii="Times New Roman" w:eastAsia="Arial" w:hAnsi="Times New Roman" w:cs="Times New Roman"/>
                <w:b/>
                <w:color w:val="000000"/>
                <w:sz w:val="24"/>
                <w:szCs w:val="24"/>
              </w:rPr>
              <w:t>Company name</w:t>
            </w:r>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ADES</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Akasha </w:t>
            </w:r>
            <w:proofErr w:type="spellStart"/>
            <w:r w:rsidRPr="00CD020B">
              <w:rPr>
                <w:rFonts w:ascii="Times New Roman" w:eastAsia="Arial" w:hAnsi="Times New Roman" w:cs="Times New Roman"/>
                <w:color w:val="000000"/>
                <w:sz w:val="24"/>
                <w:szCs w:val="24"/>
              </w:rPr>
              <w:t>Wira</w:t>
            </w:r>
            <w:proofErr w:type="spellEnd"/>
            <w:r w:rsidRPr="00CD020B">
              <w:rPr>
                <w:rFonts w:ascii="Times New Roman" w:eastAsia="Arial" w:hAnsi="Times New Roman" w:cs="Times New Roman"/>
                <w:color w:val="000000"/>
                <w:sz w:val="24"/>
                <w:szCs w:val="24"/>
              </w:rPr>
              <w:t xml:space="preserve"> International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AISA</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Tiga</w:t>
            </w:r>
            <w:proofErr w:type="spellEnd"/>
            <w:r w:rsidRPr="00CD020B">
              <w:rPr>
                <w:rFonts w:ascii="Times New Roman" w:eastAsia="Arial" w:hAnsi="Times New Roman" w:cs="Times New Roman"/>
                <w:color w:val="000000"/>
                <w:sz w:val="24"/>
                <w:szCs w:val="24"/>
              </w:rPr>
              <w:t xml:space="preserve"> Pilar Sejahtera Food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3.</w:t>
            </w:r>
          </w:p>
        </w:tc>
        <w:tc>
          <w:tcPr>
            <w:tcW w:w="1183" w:type="dxa"/>
          </w:tcPr>
          <w:p w:rsidR="00EF62D4" w:rsidRPr="00CD020B" w:rsidRDefault="0055767E"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ALTO</w:t>
            </w:r>
          </w:p>
        </w:tc>
        <w:tc>
          <w:tcPr>
            <w:tcW w:w="5331" w:type="dxa"/>
          </w:tcPr>
          <w:p w:rsidR="00EF62D4" w:rsidRPr="00CD020B" w:rsidRDefault="0055767E"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Tri Banyan </w:t>
            </w:r>
            <w:proofErr w:type="spellStart"/>
            <w:r w:rsidRPr="00CD020B">
              <w:rPr>
                <w:rFonts w:ascii="Times New Roman" w:eastAsia="Arial" w:hAnsi="Times New Roman" w:cs="Times New Roman"/>
                <w:color w:val="000000"/>
                <w:sz w:val="24"/>
                <w:szCs w:val="24"/>
              </w:rPr>
              <w:t>Tirta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4.</w:t>
            </w:r>
          </w:p>
        </w:tc>
        <w:tc>
          <w:tcPr>
            <w:tcW w:w="1183" w:type="dxa"/>
          </w:tcPr>
          <w:p w:rsidR="00EF62D4" w:rsidRPr="00CD020B" w:rsidRDefault="0055767E"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BTEK</w:t>
            </w:r>
          </w:p>
        </w:tc>
        <w:tc>
          <w:tcPr>
            <w:tcW w:w="5331" w:type="dxa"/>
          </w:tcPr>
          <w:p w:rsidR="00EF62D4" w:rsidRPr="00CD020B" w:rsidRDefault="0055767E"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Superior </w:t>
            </w:r>
            <w:proofErr w:type="spellStart"/>
            <w:r w:rsidRPr="00CD020B">
              <w:rPr>
                <w:rFonts w:ascii="Times New Roman" w:eastAsia="Arial" w:hAnsi="Times New Roman" w:cs="Times New Roman"/>
                <w:color w:val="000000"/>
                <w:sz w:val="24"/>
                <w:szCs w:val="24"/>
              </w:rPr>
              <w:t>Technoculture</w:t>
            </w:r>
            <w:proofErr w:type="spellEnd"/>
            <w:r w:rsidRPr="00CD020B">
              <w:rPr>
                <w:rFonts w:ascii="Times New Roman" w:eastAsia="Arial" w:hAnsi="Times New Roman" w:cs="Times New Roman"/>
                <w:color w:val="000000"/>
                <w:sz w:val="24"/>
                <w:szCs w:val="24"/>
              </w:rPr>
              <w:t xml:space="preserve"> Earth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5.</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BUDI</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Budi</w:t>
            </w:r>
            <w:r w:rsidRPr="00CD020B">
              <w:rPr>
                <w:rFonts w:ascii="Times New Roman" w:eastAsia="Arial" w:hAnsi="Times New Roman" w:cs="Times New Roman"/>
                <w:sz w:val="24"/>
                <w:szCs w:val="24"/>
              </w:rPr>
              <w:t>Starch</w:t>
            </w:r>
            <w:proofErr w:type="spellEnd"/>
            <w:r w:rsidRPr="00CD020B">
              <w:rPr>
                <w:rFonts w:ascii="Times New Roman" w:eastAsia="Arial" w:hAnsi="Times New Roman" w:cs="Times New Roman"/>
                <w:color w:val="000000"/>
                <w:sz w:val="24"/>
                <w:szCs w:val="24"/>
              </w:rPr>
              <w:t xml:space="preserve">&amp; Sweetener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6.</w:t>
            </w:r>
          </w:p>
        </w:tc>
        <w:tc>
          <w:tcPr>
            <w:tcW w:w="1183" w:type="dxa"/>
          </w:tcPr>
          <w:p w:rsidR="00EF62D4" w:rsidRPr="00CD020B" w:rsidRDefault="00845322"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CAMP</w:t>
            </w:r>
          </w:p>
        </w:tc>
        <w:tc>
          <w:tcPr>
            <w:tcW w:w="5331" w:type="dxa"/>
          </w:tcPr>
          <w:p w:rsidR="00EF62D4" w:rsidRPr="00CD020B" w:rsidRDefault="00845322"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Campina Ice Cream Industry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7.</w:t>
            </w:r>
          </w:p>
        </w:tc>
        <w:tc>
          <w:tcPr>
            <w:tcW w:w="1183" w:type="dxa"/>
          </w:tcPr>
          <w:p w:rsidR="00EF62D4" w:rsidRPr="00CD020B" w:rsidRDefault="007A126B"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CEKA</w:t>
            </w:r>
          </w:p>
        </w:tc>
        <w:tc>
          <w:tcPr>
            <w:tcW w:w="5331" w:type="dxa"/>
          </w:tcPr>
          <w:p w:rsidR="00EF62D4" w:rsidRPr="00CD020B" w:rsidRDefault="00B86E12"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Wilmar </w:t>
            </w:r>
            <w:proofErr w:type="spellStart"/>
            <w:r w:rsidRPr="00CD020B">
              <w:rPr>
                <w:rFonts w:ascii="Times New Roman" w:eastAsia="Arial" w:hAnsi="Times New Roman" w:cs="Times New Roman"/>
                <w:color w:val="000000"/>
                <w:sz w:val="24"/>
                <w:szCs w:val="24"/>
              </w:rPr>
              <w:t>Cahaya</w:t>
            </w:r>
            <w:proofErr w:type="spellEnd"/>
            <w:r w:rsidRPr="00CD020B">
              <w:rPr>
                <w:rFonts w:ascii="Times New Roman" w:eastAsia="Arial" w:hAnsi="Times New Roman" w:cs="Times New Roman"/>
                <w:color w:val="000000"/>
                <w:sz w:val="24"/>
                <w:szCs w:val="24"/>
              </w:rPr>
              <w:t xml:space="preserve"> Indonesia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8.</w:t>
            </w:r>
          </w:p>
        </w:tc>
        <w:tc>
          <w:tcPr>
            <w:tcW w:w="1183" w:type="dxa"/>
          </w:tcPr>
          <w:p w:rsidR="00EF62D4" w:rsidRPr="00CD020B" w:rsidRDefault="00B86E12"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CLEO</w:t>
            </w:r>
          </w:p>
        </w:tc>
        <w:tc>
          <w:tcPr>
            <w:tcW w:w="5331" w:type="dxa"/>
          </w:tcPr>
          <w:p w:rsidR="00EF62D4" w:rsidRPr="00CD020B" w:rsidRDefault="00B86E12"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Sariguna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Primatirta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9.</w:t>
            </w:r>
          </w:p>
        </w:tc>
        <w:tc>
          <w:tcPr>
            <w:tcW w:w="1183" w:type="dxa"/>
          </w:tcPr>
          <w:p w:rsidR="00EF62D4" w:rsidRPr="00CD020B" w:rsidRDefault="00B86E12"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COCO</w:t>
            </w:r>
          </w:p>
        </w:tc>
        <w:tc>
          <w:tcPr>
            <w:tcW w:w="5331" w:type="dxa"/>
          </w:tcPr>
          <w:p w:rsidR="00EF62D4" w:rsidRPr="00CD020B" w:rsidRDefault="00B86E12"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Wahana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Interfood</w:t>
            </w:r>
            <w:proofErr w:type="spellEnd"/>
            <w:r w:rsidRPr="00CD020B">
              <w:rPr>
                <w:rFonts w:ascii="Times New Roman" w:eastAsia="Arial" w:hAnsi="Times New Roman" w:cs="Times New Roman"/>
                <w:color w:val="000000"/>
                <w:sz w:val="24"/>
                <w:szCs w:val="24"/>
              </w:rPr>
              <w:t xml:space="preserve"> Nusantara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10.</w:t>
            </w:r>
          </w:p>
        </w:tc>
        <w:tc>
          <w:tcPr>
            <w:tcW w:w="1183" w:type="dxa"/>
          </w:tcPr>
          <w:p w:rsidR="00EF62D4" w:rsidRPr="00CD020B" w:rsidRDefault="00B86E12"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DLTA</w:t>
            </w:r>
          </w:p>
        </w:tc>
        <w:tc>
          <w:tcPr>
            <w:tcW w:w="5331" w:type="dxa"/>
          </w:tcPr>
          <w:p w:rsidR="00EF62D4" w:rsidRPr="00CD020B" w:rsidRDefault="00B86E12"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PT Delta Djakarta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11.</w:t>
            </w:r>
          </w:p>
        </w:tc>
        <w:tc>
          <w:tcPr>
            <w:tcW w:w="1183" w:type="dxa"/>
          </w:tcPr>
          <w:p w:rsidR="00EF62D4" w:rsidRPr="00CD020B" w:rsidRDefault="00377481"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DMND</w:t>
            </w:r>
          </w:p>
        </w:tc>
        <w:tc>
          <w:tcPr>
            <w:tcW w:w="5331" w:type="dxa"/>
          </w:tcPr>
          <w:p w:rsidR="00EF62D4" w:rsidRPr="00CD020B" w:rsidRDefault="00377481"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Diamond Food Indonesia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12.</w:t>
            </w:r>
          </w:p>
        </w:tc>
        <w:tc>
          <w:tcPr>
            <w:tcW w:w="1183" w:type="dxa"/>
          </w:tcPr>
          <w:p w:rsidR="00EF62D4" w:rsidRPr="00CD020B" w:rsidRDefault="00377481"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ENZO</w:t>
            </w:r>
          </w:p>
        </w:tc>
        <w:tc>
          <w:tcPr>
            <w:tcW w:w="5331" w:type="dxa"/>
          </w:tcPr>
          <w:p w:rsidR="00EF62D4" w:rsidRPr="00CD020B" w:rsidRDefault="00377481"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Morenzo</w:t>
            </w:r>
            <w:proofErr w:type="spellEnd"/>
            <w:r w:rsidRPr="00CD020B">
              <w:rPr>
                <w:rFonts w:ascii="Times New Roman" w:eastAsia="Arial" w:hAnsi="Times New Roman" w:cs="Times New Roman"/>
                <w:color w:val="000000"/>
                <w:sz w:val="24"/>
                <w:szCs w:val="24"/>
              </w:rPr>
              <w:t xml:space="preserve"> Abadi Perkasa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13.</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FOOD</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Sentra Food Indonesia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14.</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GOOD</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Garudafood</w:t>
            </w:r>
            <w:proofErr w:type="spellEnd"/>
            <w:r w:rsidRPr="00CD020B">
              <w:rPr>
                <w:rFonts w:ascii="Times New Roman" w:eastAsia="Arial" w:hAnsi="Times New Roman" w:cs="Times New Roman"/>
                <w:color w:val="000000"/>
                <w:sz w:val="24"/>
                <w:szCs w:val="24"/>
              </w:rPr>
              <w:t xml:space="preserve"> Putra Putri Jaya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15.</w:t>
            </w:r>
          </w:p>
        </w:tc>
        <w:tc>
          <w:tcPr>
            <w:tcW w:w="1183" w:type="dxa"/>
          </w:tcPr>
          <w:p w:rsidR="00EF62D4" w:rsidRPr="00CD020B" w:rsidRDefault="007A126B"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HOKI</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Buyung</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Poetra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Sembada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16.</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ICBP</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Indofood CBP </w:t>
            </w:r>
            <w:proofErr w:type="spellStart"/>
            <w:r w:rsidRPr="00CD020B">
              <w:rPr>
                <w:rFonts w:ascii="Times New Roman" w:eastAsia="Arial" w:hAnsi="Times New Roman" w:cs="Times New Roman"/>
                <w:color w:val="000000"/>
                <w:sz w:val="24"/>
                <w:szCs w:val="24"/>
              </w:rPr>
              <w:t>Sukses</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Makmur</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17.</w:t>
            </w:r>
          </w:p>
        </w:tc>
        <w:tc>
          <w:tcPr>
            <w:tcW w:w="1183"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IIKP</w:t>
            </w:r>
          </w:p>
        </w:tc>
        <w:tc>
          <w:tcPr>
            <w:tcW w:w="5331"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Inti Agri Resources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18.</w:t>
            </w:r>
          </w:p>
        </w:tc>
        <w:tc>
          <w:tcPr>
            <w:tcW w:w="1183" w:type="dxa"/>
          </w:tcPr>
          <w:p w:rsidR="00EF62D4" w:rsidRPr="00CD020B" w:rsidRDefault="007A126B"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IKAN</w:t>
            </w:r>
          </w:p>
        </w:tc>
        <w:tc>
          <w:tcPr>
            <w:tcW w:w="5331"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Era </w:t>
            </w:r>
            <w:proofErr w:type="spellStart"/>
            <w:r w:rsidRPr="00CD020B">
              <w:rPr>
                <w:rFonts w:ascii="Times New Roman" w:eastAsia="Arial" w:hAnsi="Times New Roman" w:cs="Times New Roman"/>
                <w:color w:val="000000"/>
                <w:sz w:val="24"/>
                <w:szCs w:val="24"/>
              </w:rPr>
              <w:t>Mandiri</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Cemerlang</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19.</w:t>
            </w:r>
          </w:p>
        </w:tc>
        <w:tc>
          <w:tcPr>
            <w:tcW w:w="1183"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INDF</w:t>
            </w:r>
          </w:p>
        </w:tc>
        <w:tc>
          <w:tcPr>
            <w:tcW w:w="5331"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Indofood </w:t>
            </w:r>
            <w:proofErr w:type="spellStart"/>
            <w:r w:rsidRPr="00CD020B">
              <w:rPr>
                <w:rFonts w:ascii="Times New Roman" w:eastAsia="Arial" w:hAnsi="Times New Roman" w:cs="Times New Roman"/>
                <w:color w:val="000000"/>
                <w:sz w:val="24"/>
                <w:szCs w:val="24"/>
              </w:rPr>
              <w:t>Sukses</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Makmur</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20.</w:t>
            </w:r>
          </w:p>
        </w:tc>
        <w:tc>
          <w:tcPr>
            <w:tcW w:w="1183" w:type="dxa"/>
          </w:tcPr>
          <w:p w:rsidR="00EF62D4" w:rsidRPr="00CD020B" w:rsidRDefault="007A126B"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KEJU</w:t>
            </w:r>
          </w:p>
        </w:tc>
        <w:tc>
          <w:tcPr>
            <w:tcW w:w="5331"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Mulia</w:t>
            </w:r>
            <w:proofErr w:type="spellEnd"/>
            <w:r w:rsidRPr="00CD020B">
              <w:rPr>
                <w:rFonts w:ascii="Times New Roman" w:eastAsia="Arial" w:hAnsi="Times New Roman" w:cs="Times New Roman"/>
                <w:color w:val="000000"/>
                <w:sz w:val="24"/>
                <w:szCs w:val="24"/>
              </w:rPr>
              <w:t xml:space="preserve"> Boga Raya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21.</w:t>
            </w:r>
          </w:p>
        </w:tc>
        <w:tc>
          <w:tcPr>
            <w:tcW w:w="1183"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MGNA</w:t>
            </w:r>
          </w:p>
        </w:tc>
        <w:tc>
          <w:tcPr>
            <w:tcW w:w="5331"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Magna </w:t>
            </w:r>
            <w:proofErr w:type="spellStart"/>
            <w:r w:rsidRPr="00CD020B">
              <w:rPr>
                <w:rFonts w:ascii="Times New Roman" w:eastAsia="Arial" w:hAnsi="Times New Roman" w:cs="Times New Roman"/>
                <w:color w:val="000000"/>
                <w:sz w:val="24"/>
                <w:szCs w:val="24"/>
              </w:rPr>
              <w:t>Investama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Mandiri</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22.</w:t>
            </w:r>
          </w:p>
        </w:tc>
        <w:tc>
          <w:tcPr>
            <w:tcW w:w="1183"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MLBI</w:t>
            </w:r>
          </w:p>
        </w:tc>
        <w:tc>
          <w:tcPr>
            <w:tcW w:w="5331"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Multi Bintang Indonesia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23.</w:t>
            </w:r>
          </w:p>
        </w:tc>
        <w:tc>
          <w:tcPr>
            <w:tcW w:w="1183"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MYOR</w:t>
            </w:r>
          </w:p>
        </w:tc>
        <w:tc>
          <w:tcPr>
            <w:tcW w:w="5331" w:type="dxa"/>
          </w:tcPr>
          <w:p w:rsidR="00EF62D4" w:rsidRPr="00CD020B" w:rsidRDefault="00E6015F"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Mayora</w:t>
            </w:r>
            <w:proofErr w:type="spellEnd"/>
            <w:r w:rsidRPr="00CD020B">
              <w:rPr>
                <w:rFonts w:ascii="Times New Roman" w:eastAsia="Arial" w:hAnsi="Times New Roman" w:cs="Times New Roman"/>
                <w:color w:val="000000"/>
                <w:sz w:val="24"/>
                <w:szCs w:val="24"/>
              </w:rPr>
              <w:t xml:space="preserve"> Indah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24.</w:t>
            </w:r>
          </w:p>
        </w:tc>
        <w:tc>
          <w:tcPr>
            <w:tcW w:w="1183" w:type="dxa"/>
          </w:tcPr>
          <w:p w:rsidR="00EF62D4" w:rsidRPr="00CD020B" w:rsidRDefault="00F22829"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PANI</w:t>
            </w:r>
          </w:p>
        </w:tc>
        <w:tc>
          <w:tcPr>
            <w:tcW w:w="5331" w:type="dxa"/>
          </w:tcPr>
          <w:p w:rsidR="00EF62D4" w:rsidRPr="00CD020B" w:rsidRDefault="009C6EF6"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Pratama</w:t>
            </w:r>
            <w:proofErr w:type="spellEnd"/>
            <w:r w:rsidRPr="00CD020B">
              <w:rPr>
                <w:rFonts w:ascii="Times New Roman" w:eastAsia="Arial" w:hAnsi="Times New Roman" w:cs="Times New Roman"/>
                <w:color w:val="000000"/>
                <w:sz w:val="24"/>
                <w:szCs w:val="24"/>
              </w:rPr>
              <w:t xml:space="preserve"> Abadi Nusa </w:t>
            </w:r>
            <w:proofErr w:type="spellStart"/>
            <w:r w:rsidRPr="00CD020B">
              <w:rPr>
                <w:rFonts w:ascii="Times New Roman" w:eastAsia="Arial" w:hAnsi="Times New Roman" w:cs="Times New Roman"/>
                <w:color w:val="000000"/>
                <w:sz w:val="24"/>
                <w:szCs w:val="24"/>
              </w:rPr>
              <w:t>Industri</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25.</w:t>
            </w:r>
          </w:p>
        </w:tc>
        <w:tc>
          <w:tcPr>
            <w:tcW w:w="1183" w:type="dxa"/>
          </w:tcPr>
          <w:p w:rsidR="00EF62D4" w:rsidRPr="00CD020B" w:rsidRDefault="000F5335"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PCAR</w:t>
            </w:r>
          </w:p>
        </w:tc>
        <w:tc>
          <w:tcPr>
            <w:tcW w:w="5331" w:type="dxa"/>
          </w:tcPr>
          <w:p w:rsidR="00EF62D4" w:rsidRPr="00CD020B" w:rsidRDefault="000F5335"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Prima </w:t>
            </w:r>
            <w:proofErr w:type="spellStart"/>
            <w:r w:rsidRPr="00CD020B">
              <w:rPr>
                <w:rFonts w:ascii="Times New Roman" w:eastAsia="Arial" w:hAnsi="Times New Roman" w:cs="Times New Roman"/>
                <w:color w:val="000000"/>
                <w:sz w:val="24"/>
                <w:szCs w:val="24"/>
              </w:rPr>
              <w:t>Cakrawala</w:t>
            </w:r>
            <w:proofErr w:type="spellEnd"/>
            <w:r w:rsidRPr="00CD020B">
              <w:rPr>
                <w:rFonts w:ascii="Times New Roman" w:eastAsia="Arial" w:hAnsi="Times New Roman" w:cs="Times New Roman"/>
                <w:color w:val="000000"/>
                <w:sz w:val="24"/>
                <w:szCs w:val="24"/>
              </w:rPr>
              <w:t xml:space="preserve"> Abadi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26.</w:t>
            </w:r>
          </w:p>
        </w:tc>
        <w:tc>
          <w:tcPr>
            <w:tcW w:w="1183" w:type="dxa"/>
          </w:tcPr>
          <w:p w:rsidR="00EF62D4" w:rsidRPr="00CD020B" w:rsidRDefault="000F5335"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PSDN</w:t>
            </w:r>
          </w:p>
        </w:tc>
        <w:tc>
          <w:tcPr>
            <w:tcW w:w="5331" w:type="dxa"/>
          </w:tcPr>
          <w:p w:rsidR="00EF62D4" w:rsidRPr="00CD020B" w:rsidRDefault="000F5335" w:rsidP="00970A21">
            <w:pPr>
              <w:spacing w:line="276" w:lineRule="auto"/>
              <w:jc w:val="both"/>
              <w:rPr>
                <w:rFonts w:ascii="Times New Roman" w:eastAsia="Arial" w:hAnsi="Times New Roman" w:cs="Times New Roman"/>
                <w:b/>
                <w:color w:val="000000"/>
                <w:sz w:val="24"/>
                <w:szCs w:val="24"/>
              </w:rPr>
            </w:pPr>
            <w:proofErr w:type="spellStart"/>
            <w:r w:rsidRPr="00CD020B">
              <w:rPr>
                <w:rFonts w:ascii="Times New Roman" w:eastAsia="Arial" w:hAnsi="Times New Roman" w:cs="Times New Roman"/>
                <w:color w:val="000000"/>
                <w:sz w:val="24"/>
                <w:szCs w:val="24"/>
              </w:rPr>
              <w:t>Prasidha</w:t>
            </w:r>
            <w:proofErr w:type="spellEnd"/>
            <w:r w:rsidRPr="00CD020B">
              <w:rPr>
                <w:rFonts w:ascii="Times New Roman" w:eastAsia="Arial" w:hAnsi="Times New Roman" w:cs="Times New Roman"/>
                <w:color w:val="000000"/>
                <w:sz w:val="24"/>
                <w:szCs w:val="24"/>
              </w:rPr>
              <w:t xml:space="preserve"> Aneka </w:t>
            </w:r>
            <w:proofErr w:type="spellStart"/>
            <w:r w:rsidRPr="00CD020B">
              <w:rPr>
                <w:rFonts w:ascii="Times New Roman" w:eastAsia="Arial" w:hAnsi="Times New Roman" w:cs="Times New Roman"/>
                <w:color w:val="000000"/>
                <w:sz w:val="24"/>
                <w:szCs w:val="24"/>
              </w:rPr>
              <w:t>Niaga</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27.</w:t>
            </w:r>
          </w:p>
        </w:tc>
        <w:tc>
          <w:tcPr>
            <w:tcW w:w="1183" w:type="dxa"/>
          </w:tcPr>
          <w:p w:rsidR="00EF62D4" w:rsidRPr="00CD020B" w:rsidRDefault="000F5335"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PSGO</w:t>
            </w:r>
          </w:p>
        </w:tc>
        <w:tc>
          <w:tcPr>
            <w:tcW w:w="5331" w:type="dxa"/>
          </w:tcPr>
          <w:p w:rsidR="00EF62D4" w:rsidRPr="00CD020B" w:rsidRDefault="000F5335"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Palma </w:t>
            </w:r>
            <w:proofErr w:type="spellStart"/>
            <w:r w:rsidRPr="00CD020B">
              <w:rPr>
                <w:rFonts w:ascii="Times New Roman" w:eastAsia="Arial" w:hAnsi="Times New Roman" w:cs="Times New Roman"/>
                <w:color w:val="000000"/>
                <w:sz w:val="24"/>
                <w:szCs w:val="24"/>
              </w:rPr>
              <w:t>Serasih</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28.</w:t>
            </w:r>
          </w:p>
        </w:tc>
        <w:tc>
          <w:tcPr>
            <w:tcW w:w="1183" w:type="dxa"/>
          </w:tcPr>
          <w:p w:rsidR="00EF62D4" w:rsidRPr="00CD020B" w:rsidRDefault="007A126B"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ROTI</w:t>
            </w:r>
          </w:p>
        </w:tc>
        <w:tc>
          <w:tcPr>
            <w:tcW w:w="5331" w:type="dxa"/>
          </w:tcPr>
          <w:p w:rsidR="00EF62D4" w:rsidRPr="00CD020B" w:rsidRDefault="000F5335"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 xml:space="preserve">Nippon </w:t>
            </w:r>
            <w:proofErr w:type="spellStart"/>
            <w:r w:rsidRPr="00CD020B">
              <w:rPr>
                <w:rFonts w:ascii="Times New Roman" w:eastAsia="Arial" w:hAnsi="Times New Roman" w:cs="Times New Roman"/>
                <w:color w:val="000000"/>
                <w:sz w:val="24"/>
                <w:szCs w:val="24"/>
              </w:rPr>
              <w:t>Indosari</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Corpindo</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29.</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SKBM</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Sekar</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Bumi</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30.</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SKLT</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Sekar</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Laut</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31.</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STTP</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color w:val="000000"/>
                <w:sz w:val="24"/>
                <w:szCs w:val="24"/>
              </w:rPr>
              <w:t>Siantar</w:t>
            </w:r>
            <w:proofErr w:type="spellEnd"/>
            <w:r w:rsidRPr="00CD020B">
              <w:rPr>
                <w:rFonts w:ascii="Times New Roman" w:eastAsia="Arial" w:hAnsi="Times New Roman" w:cs="Times New Roman"/>
                <w:color w:val="000000"/>
                <w:sz w:val="24"/>
                <w:szCs w:val="24"/>
              </w:rPr>
              <w:t xml:space="preserve"> Top </w:t>
            </w:r>
            <w:proofErr w:type="spellStart"/>
            <w:r w:rsidRPr="00CD020B">
              <w:rPr>
                <w:rFonts w:ascii="Times New Roman" w:eastAsia="Arial" w:hAnsi="Times New Roman" w:cs="Times New Roman"/>
                <w:color w:val="000000"/>
                <w:sz w:val="24"/>
                <w:szCs w:val="24"/>
              </w:rPr>
              <w:t>Tbk</w:t>
            </w:r>
            <w:proofErr w:type="spellEnd"/>
          </w:p>
        </w:tc>
      </w:tr>
      <w:tr w:rsidR="00EF62D4" w:rsidRPr="00CD020B" w:rsidTr="00CD020B">
        <w:trPr>
          <w:jc w:val="center"/>
        </w:trPr>
        <w:tc>
          <w:tcPr>
            <w:tcW w:w="671" w:type="dxa"/>
          </w:tcPr>
          <w:p w:rsidR="00EF62D4" w:rsidRPr="00CD020B" w:rsidRDefault="00D83EF7"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32.</w:t>
            </w:r>
          </w:p>
        </w:tc>
        <w:tc>
          <w:tcPr>
            <w:tcW w:w="1183"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ULTJ</w:t>
            </w:r>
          </w:p>
        </w:tc>
        <w:tc>
          <w:tcPr>
            <w:tcW w:w="5331" w:type="dxa"/>
          </w:tcPr>
          <w:p w:rsidR="00EF62D4" w:rsidRPr="00CD020B" w:rsidRDefault="00D83EF7" w:rsidP="00970A21">
            <w:pPr>
              <w:spacing w:line="276" w:lineRule="auto"/>
              <w:jc w:val="both"/>
              <w:rPr>
                <w:rFonts w:ascii="Times New Roman" w:eastAsia="Arial" w:hAnsi="Times New Roman" w:cs="Times New Roman"/>
                <w:color w:val="000000"/>
                <w:sz w:val="24"/>
                <w:szCs w:val="24"/>
              </w:rPr>
            </w:pPr>
            <w:proofErr w:type="spellStart"/>
            <w:r w:rsidRPr="00CD020B">
              <w:rPr>
                <w:rFonts w:ascii="Times New Roman" w:eastAsia="Arial" w:hAnsi="Times New Roman" w:cs="Times New Roman"/>
                <w:sz w:val="24"/>
                <w:szCs w:val="24"/>
              </w:rPr>
              <w:t>UltraJaya</w:t>
            </w:r>
            <w:r w:rsidRPr="00CD020B">
              <w:rPr>
                <w:rFonts w:ascii="Times New Roman" w:eastAsia="Arial" w:hAnsi="Times New Roman" w:cs="Times New Roman"/>
                <w:color w:val="000000"/>
                <w:sz w:val="24"/>
                <w:szCs w:val="24"/>
              </w:rPr>
              <w:t>Milk</w:t>
            </w:r>
            <w:proofErr w:type="spellEnd"/>
            <w:r w:rsidRPr="00CD020B">
              <w:rPr>
                <w:rFonts w:ascii="Times New Roman" w:eastAsia="Arial" w:hAnsi="Times New Roman" w:cs="Times New Roman"/>
                <w:color w:val="000000"/>
                <w:sz w:val="24"/>
                <w:szCs w:val="24"/>
              </w:rPr>
              <w:t xml:space="preserve"> Industry &amp;</w:t>
            </w:r>
            <w:proofErr w:type="spellStart"/>
            <w:r w:rsidRPr="00CD020B">
              <w:rPr>
                <w:rFonts w:ascii="Times New Roman" w:eastAsia="Arial" w:hAnsi="Times New Roman" w:cs="Times New Roman"/>
                <w:sz w:val="24"/>
                <w:szCs w:val="24"/>
              </w:rPr>
              <w:t>Trading</w:t>
            </w:r>
            <w:r w:rsidRPr="00CD020B">
              <w:rPr>
                <w:rFonts w:ascii="Times New Roman" w:eastAsia="Arial" w:hAnsi="Times New Roman" w:cs="Times New Roman"/>
                <w:color w:val="000000"/>
                <w:sz w:val="24"/>
                <w:szCs w:val="24"/>
              </w:rPr>
              <w:t>Company</w:t>
            </w:r>
            <w:proofErr w:type="spellEnd"/>
            <w:r w:rsidRPr="00CD020B">
              <w:rPr>
                <w:rFonts w:ascii="Times New Roman" w:eastAsia="Arial" w:hAnsi="Times New Roman" w:cs="Times New Roman"/>
                <w:color w:val="000000"/>
                <w:sz w:val="24"/>
                <w:szCs w:val="24"/>
              </w:rPr>
              <w:t xml:space="preserve"> </w:t>
            </w:r>
            <w:proofErr w:type="spellStart"/>
            <w:r w:rsidRPr="00CD020B">
              <w:rPr>
                <w:rFonts w:ascii="Times New Roman" w:eastAsia="Arial" w:hAnsi="Times New Roman" w:cs="Times New Roman"/>
                <w:color w:val="000000"/>
                <w:sz w:val="24"/>
                <w:szCs w:val="24"/>
              </w:rPr>
              <w:t>Tbk</w:t>
            </w:r>
            <w:proofErr w:type="spellEnd"/>
          </w:p>
        </w:tc>
      </w:tr>
      <w:tr w:rsidR="000F5335" w:rsidRPr="00CD020B" w:rsidTr="00CD020B">
        <w:trPr>
          <w:jc w:val="center"/>
        </w:trPr>
        <w:tc>
          <w:tcPr>
            <w:tcW w:w="671" w:type="dxa"/>
          </w:tcPr>
          <w:p w:rsidR="000F5335" w:rsidRPr="00CD020B" w:rsidRDefault="000F5335" w:rsidP="00970A21">
            <w:pPr>
              <w:spacing w:line="276" w:lineRule="auto"/>
              <w:jc w:val="center"/>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33.</w:t>
            </w:r>
          </w:p>
        </w:tc>
        <w:tc>
          <w:tcPr>
            <w:tcW w:w="1183" w:type="dxa"/>
          </w:tcPr>
          <w:p w:rsidR="000F5335" w:rsidRPr="00CD020B" w:rsidRDefault="000F5335" w:rsidP="00970A21">
            <w:pPr>
              <w:spacing w:line="276" w:lineRule="auto"/>
              <w:jc w:val="both"/>
              <w:rPr>
                <w:rFonts w:ascii="Times New Roman" w:eastAsia="Arial" w:hAnsi="Times New Roman" w:cs="Times New Roman"/>
                <w:color w:val="000000"/>
                <w:sz w:val="24"/>
                <w:szCs w:val="24"/>
              </w:rPr>
            </w:pPr>
            <w:r w:rsidRPr="00CD020B">
              <w:rPr>
                <w:rFonts w:ascii="Times New Roman" w:eastAsia="Arial" w:hAnsi="Times New Roman" w:cs="Times New Roman"/>
                <w:color w:val="000000"/>
                <w:sz w:val="24"/>
                <w:szCs w:val="24"/>
              </w:rPr>
              <w:t>WMUU</w:t>
            </w:r>
          </w:p>
        </w:tc>
        <w:tc>
          <w:tcPr>
            <w:tcW w:w="5331" w:type="dxa"/>
          </w:tcPr>
          <w:p w:rsidR="000F5335" w:rsidRPr="00CD020B" w:rsidRDefault="000F5335" w:rsidP="00970A21">
            <w:pPr>
              <w:spacing w:line="276" w:lineRule="auto"/>
              <w:jc w:val="both"/>
              <w:rPr>
                <w:rFonts w:ascii="Times New Roman" w:eastAsia="Arial" w:hAnsi="Times New Roman" w:cs="Times New Roman"/>
                <w:sz w:val="24"/>
                <w:szCs w:val="24"/>
              </w:rPr>
            </w:pPr>
            <w:r w:rsidRPr="00CD020B">
              <w:rPr>
                <w:rFonts w:ascii="Times New Roman" w:eastAsia="Arial" w:hAnsi="Times New Roman" w:cs="Times New Roman"/>
                <w:color w:val="000000"/>
                <w:sz w:val="24"/>
                <w:szCs w:val="24"/>
              </w:rPr>
              <w:t xml:space="preserve">Widodo </w:t>
            </w:r>
            <w:proofErr w:type="spellStart"/>
            <w:r w:rsidRPr="00CD020B">
              <w:rPr>
                <w:rFonts w:ascii="Times New Roman" w:eastAsia="Arial" w:hAnsi="Times New Roman" w:cs="Times New Roman"/>
                <w:color w:val="000000"/>
                <w:sz w:val="24"/>
                <w:szCs w:val="24"/>
              </w:rPr>
              <w:t>Makmur</w:t>
            </w:r>
            <w:proofErr w:type="spellEnd"/>
            <w:r w:rsidRPr="00CD020B">
              <w:rPr>
                <w:rFonts w:ascii="Times New Roman" w:eastAsia="Arial" w:hAnsi="Times New Roman" w:cs="Times New Roman"/>
                <w:color w:val="000000"/>
                <w:sz w:val="24"/>
                <w:szCs w:val="24"/>
              </w:rPr>
              <w:t xml:space="preserve"> Poultry </w:t>
            </w:r>
            <w:proofErr w:type="spellStart"/>
            <w:r w:rsidRPr="00CD020B">
              <w:rPr>
                <w:rFonts w:ascii="Times New Roman" w:eastAsia="Arial" w:hAnsi="Times New Roman" w:cs="Times New Roman"/>
                <w:color w:val="000000"/>
                <w:sz w:val="24"/>
                <w:szCs w:val="24"/>
              </w:rPr>
              <w:t>Tbk</w:t>
            </w:r>
            <w:proofErr w:type="spellEnd"/>
          </w:p>
        </w:tc>
      </w:tr>
    </w:tbl>
    <w:p w:rsidR="00CD020B" w:rsidRPr="00CD020B" w:rsidRDefault="000C6CF1" w:rsidP="00CD020B">
      <w:pPr>
        <w:ind w:left="360" w:firstLine="207"/>
        <w:jc w:val="both"/>
        <w:rPr>
          <w:rFonts w:ascii="Times New Roman" w:eastAsia="Arial" w:hAnsi="Times New Roman" w:cs="Times New Roman"/>
          <w:color w:val="000000"/>
          <w:sz w:val="24"/>
          <w:szCs w:val="24"/>
          <w:lang w:val="id-ID"/>
        </w:rPr>
      </w:pPr>
      <w:r w:rsidRPr="00CD020B">
        <w:rPr>
          <w:rFonts w:ascii="Times New Roman" w:eastAsia="Arial" w:hAnsi="Times New Roman" w:cs="Times New Roman"/>
          <w:color w:val="000000"/>
          <w:sz w:val="24"/>
          <w:szCs w:val="24"/>
          <w:lang w:val="id-ID"/>
        </w:rPr>
        <w:t xml:space="preserve">      </w:t>
      </w:r>
      <w:r w:rsidR="00D83EF7" w:rsidRPr="00CD020B">
        <w:rPr>
          <w:rFonts w:ascii="Times New Roman" w:eastAsia="Arial" w:hAnsi="Times New Roman" w:cs="Times New Roman"/>
          <w:color w:val="000000"/>
          <w:sz w:val="24"/>
          <w:szCs w:val="24"/>
        </w:rPr>
        <w:t>Source: Secondary data processed (2021)</w:t>
      </w:r>
      <w:bookmarkStart w:id="2" w:name="_Toc109907786"/>
    </w:p>
    <w:p w:rsidR="00EF62D4" w:rsidRPr="00CD020B" w:rsidRDefault="00D83EF7" w:rsidP="00CD020B">
      <w:pPr>
        <w:pStyle w:val="Bab3Heading2"/>
        <w:spacing w:before="120" w:after="0" w:line="276" w:lineRule="auto"/>
        <w:rPr>
          <w:rFonts w:asciiTheme="majorBidi" w:hAnsiTheme="majorBidi" w:cstheme="majorBidi"/>
          <w:sz w:val="24"/>
          <w:szCs w:val="24"/>
        </w:rPr>
      </w:pPr>
      <w:r w:rsidRPr="00CD020B">
        <w:rPr>
          <w:rFonts w:asciiTheme="majorBidi" w:hAnsiTheme="majorBidi" w:cstheme="majorBidi"/>
          <w:sz w:val="24"/>
          <w:szCs w:val="24"/>
        </w:rPr>
        <w:t>Method of collecting data</w:t>
      </w:r>
      <w:bookmarkEnd w:id="2"/>
    </w:p>
    <w:p w:rsidR="00970A21" w:rsidRDefault="00D83EF7" w:rsidP="00CD020B">
      <w:pPr>
        <w:spacing w:before="120" w:after="0"/>
        <w:jc w:val="both"/>
        <w:rPr>
          <w:rFonts w:asciiTheme="majorBidi" w:eastAsia="Arial" w:hAnsiTheme="majorBidi" w:cstheme="majorBidi"/>
          <w:i/>
          <w:color w:val="000000"/>
          <w:sz w:val="24"/>
          <w:szCs w:val="24"/>
        </w:rPr>
      </w:pPr>
      <w:r w:rsidRPr="00CD020B">
        <w:rPr>
          <w:rFonts w:asciiTheme="majorBidi" w:eastAsia="Arial" w:hAnsiTheme="majorBidi" w:cstheme="majorBidi"/>
          <w:color w:val="000000"/>
          <w:sz w:val="24"/>
          <w:szCs w:val="24"/>
        </w:rPr>
        <w:t>Data was collected through documentation study techniques, namely by understanding, classifying, and analyzing secondary data, including financial reports, various records, and other information related to food and beverage manufacturing companies listed on the IDX for 2019-2021 obtained from the official website of the IDX i.e. (</w:t>
      </w:r>
      <w:hyperlink r:id="rId11">
        <w:r w:rsidRPr="00CD020B">
          <w:rPr>
            <w:rFonts w:asciiTheme="majorBidi" w:eastAsia="Arial" w:hAnsiTheme="majorBidi" w:cstheme="majorBidi"/>
            <w:i/>
            <w:color w:val="0000FF"/>
            <w:sz w:val="24"/>
            <w:szCs w:val="24"/>
            <w:u w:val="single"/>
          </w:rPr>
          <w:t>https://www.idx.co.id/</w:t>
        </w:r>
      </w:hyperlink>
      <w:r w:rsidRPr="00CD020B">
        <w:rPr>
          <w:rFonts w:asciiTheme="majorBidi" w:eastAsia="Arial" w:hAnsiTheme="majorBidi" w:cstheme="majorBidi"/>
          <w:i/>
          <w:color w:val="000000"/>
          <w:sz w:val="24"/>
          <w:szCs w:val="24"/>
        </w:rPr>
        <w:t>).</w:t>
      </w:r>
    </w:p>
    <w:p w:rsidR="00045915" w:rsidRPr="00CD020B" w:rsidRDefault="00045915" w:rsidP="00CD020B">
      <w:pPr>
        <w:spacing w:before="120" w:after="0"/>
        <w:jc w:val="both"/>
        <w:rPr>
          <w:rFonts w:asciiTheme="majorBidi" w:eastAsia="Arial" w:hAnsiTheme="majorBidi" w:cstheme="majorBidi"/>
          <w:i/>
          <w:color w:val="000000"/>
          <w:sz w:val="24"/>
          <w:szCs w:val="24"/>
          <w:lang w:val="id-ID"/>
        </w:rPr>
      </w:pPr>
    </w:p>
    <w:p w:rsidR="00EF62D4" w:rsidRPr="00CD020B" w:rsidRDefault="00D83EF7" w:rsidP="00CD020B">
      <w:pPr>
        <w:pStyle w:val="Bab3Heading2"/>
        <w:spacing w:before="120" w:after="0" w:line="276" w:lineRule="auto"/>
        <w:ind w:left="0" w:firstLine="0"/>
        <w:rPr>
          <w:rFonts w:asciiTheme="majorBidi" w:hAnsiTheme="majorBidi" w:cstheme="majorBidi"/>
          <w:sz w:val="24"/>
          <w:szCs w:val="24"/>
        </w:rPr>
      </w:pPr>
      <w:bookmarkStart w:id="3" w:name="_Toc109907787"/>
      <w:r w:rsidRPr="00CD020B">
        <w:rPr>
          <w:rFonts w:asciiTheme="majorBidi" w:hAnsiTheme="majorBidi" w:cstheme="majorBidi"/>
          <w:sz w:val="24"/>
          <w:szCs w:val="24"/>
        </w:rPr>
        <w:lastRenderedPageBreak/>
        <w:t>Variable Operational Definitions</w:t>
      </w:r>
      <w:bookmarkEnd w:id="3"/>
    </w:p>
    <w:p w:rsidR="00EF62D4" w:rsidRPr="00CD020B" w:rsidRDefault="00D83EF7" w:rsidP="00CD020B">
      <w:pPr>
        <w:spacing w:before="120" w:after="0"/>
        <w:ind w:left="360"/>
        <w:jc w:val="center"/>
        <w:rPr>
          <w:rFonts w:asciiTheme="majorBidi" w:eastAsia="Arial" w:hAnsiTheme="majorBidi" w:cstheme="majorBidi"/>
          <w:b/>
          <w:color w:val="000000"/>
          <w:sz w:val="24"/>
          <w:szCs w:val="24"/>
          <w:lang w:val="id-ID"/>
        </w:rPr>
      </w:pPr>
      <w:r w:rsidRPr="00CD020B">
        <w:rPr>
          <w:rFonts w:asciiTheme="majorBidi" w:eastAsia="Arial" w:hAnsiTheme="majorBidi" w:cstheme="majorBidi"/>
          <w:b/>
          <w:color w:val="000000"/>
          <w:sz w:val="24"/>
          <w:szCs w:val="24"/>
        </w:rPr>
        <w:t>Table 5</w:t>
      </w:r>
      <w:r w:rsidR="00CD020B" w:rsidRPr="00CD020B">
        <w:rPr>
          <w:rFonts w:asciiTheme="majorBidi" w:eastAsia="Arial" w:hAnsiTheme="majorBidi" w:cstheme="majorBidi"/>
          <w:b/>
          <w:color w:val="000000"/>
          <w:sz w:val="24"/>
          <w:szCs w:val="24"/>
        </w:rPr>
        <w:t xml:space="preserve">. </w:t>
      </w:r>
      <w:r w:rsidRPr="00CD020B">
        <w:rPr>
          <w:rFonts w:asciiTheme="majorBidi" w:eastAsia="Arial" w:hAnsiTheme="majorBidi" w:cstheme="majorBidi"/>
          <w:color w:val="000000"/>
          <w:sz w:val="24"/>
          <w:szCs w:val="24"/>
        </w:rPr>
        <w:t>Variable Operational Definitions</w:t>
      </w:r>
    </w:p>
    <w:tbl>
      <w:tblPr>
        <w:tblStyle w:val="Style42"/>
        <w:tblW w:w="7545"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27"/>
        <w:gridCol w:w="2166"/>
        <w:gridCol w:w="3652"/>
      </w:tblGrid>
      <w:tr w:rsidR="00EF62D4" w:rsidRPr="00DB57F7" w:rsidTr="00DB57F7">
        <w:trPr>
          <w:jc w:val="center"/>
        </w:trPr>
        <w:tc>
          <w:tcPr>
            <w:tcW w:w="1727" w:type="dxa"/>
            <w:vAlign w:val="center"/>
          </w:tcPr>
          <w:p w:rsidR="00EF62D4" w:rsidRPr="00DB57F7" w:rsidRDefault="00D83EF7" w:rsidP="00DB57F7">
            <w:pPr>
              <w:spacing w:line="276" w:lineRule="auto"/>
              <w:jc w:val="center"/>
              <w:rPr>
                <w:rFonts w:asciiTheme="majorBidi" w:eastAsia="Arial" w:hAnsiTheme="majorBidi" w:cstheme="majorBidi"/>
                <w:b/>
                <w:color w:val="000000"/>
                <w:sz w:val="24"/>
                <w:szCs w:val="24"/>
              </w:rPr>
            </w:pPr>
            <w:r w:rsidRPr="00DB57F7">
              <w:rPr>
                <w:rFonts w:asciiTheme="majorBidi" w:eastAsia="Arial" w:hAnsiTheme="majorBidi" w:cstheme="majorBidi"/>
                <w:b/>
                <w:color w:val="000000"/>
                <w:sz w:val="24"/>
                <w:szCs w:val="24"/>
              </w:rPr>
              <w:t>Variable</w:t>
            </w:r>
          </w:p>
        </w:tc>
        <w:tc>
          <w:tcPr>
            <w:tcW w:w="2166" w:type="dxa"/>
            <w:vAlign w:val="center"/>
          </w:tcPr>
          <w:p w:rsidR="00EF62D4" w:rsidRPr="00DB57F7" w:rsidRDefault="00D83EF7" w:rsidP="00DB57F7">
            <w:pPr>
              <w:spacing w:line="276" w:lineRule="auto"/>
              <w:jc w:val="center"/>
              <w:rPr>
                <w:rFonts w:asciiTheme="majorBidi" w:eastAsia="Arial" w:hAnsiTheme="majorBidi" w:cstheme="majorBidi"/>
                <w:b/>
                <w:color w:val="000000"/>
                <w:sz w:val="24"/>
                <w:szCs w:val="24"/>
              </w:rPr>
            </w:pPr>
            <w:r w:rsidRPr="00DB57F7">
              <w:rPr>
                <w:rFonts w:asciiTheme="majorBidi" w:eastAsia="Arial" w:hAnsiTheme="majorBidi" w:cstheme="majorBidi"/>
                <w:b/>
                <w:color w:val="000000"/>
                <w:sz w:val="24"/>
                <w:szCs w:val="24"/>
              </w:rPr>
              <w:t>Definition</w:t>
            </w:r>
          </w:p>
        </w:tc>
        <w:tc>
          <w:tcPr>
            <w:tcW w:w="3652" w:type="dxa"/>
            <w:vAlign w:val="center"/>
          </w:tcPr>
          <w:p w:rsidR="00EF62D4" w:rsidRPr="00DB57F7" w:rsidRDefault="00D83EF7" w:rsidP="00DB57F7">
            <w:pPr>
              <w:spacing w:line="276" w:lineRule="auto"/>
              <w:jc w:val="center"/>
              <w:rPr>
                <w:rFonts w:asciiTheme="majorBidi" w:eastAsia="Arial" w:hAnsiTheme="majorBidi" w:cstheme="majorBidi"/>
                <w:b/>
                <w:color w:val="000000"/>
                <w:sz w:val="24"/>
                <w:szCs w:val="24"/>
              </w:rPr>
            </w:pPr>
            <w:r w:rsidRPr="00DB57F7">
              <w:rPr>
                <w:rFonts w:asciiTheme="majorBidi" w:eastAsia="Arial" w:hAnsiTheme="majorBidi" w:cstheme="majorBidi"/>
                <w:b/>
                <w:color w:val="000000"/>
                <w:sz w:val="24"/>
                <w:szCs w:val="24"/>
              </w:rPr>
              <w:t>Formula</w:t>
            </w:r>
          </w:p>
        </w:tc>
      </w:tr>
      <w:tr w:rsidR="00EF62D4" w:rsidRPr="00DB57F7" w:rsidTr="00DB57F7">
        <w:trPr>
          <w:jc w:val="center"/>
        </w:trPr>
        <w:tc>
          <w:tcPr>
            <w:tcW w:w="1727" w:type="dxa"/>
            <w:vAlign w:val="center"/>
          </w:tcPr>
          <w:p w:rsidR="00EF62D4" w:rsidRPr="00DB57F7" w:rsidRDefault="00D83EF7" w:rsidP="00DB57F7">
            <w:pPr>
              <w:spacing w:line="276" w:lineRule="auto"/>
              <w:jc w:val="center"/>
              <w:rPr>
                <w:rFonts w:asciiTheme="majorBidi" w:eastAsia="Arial" w:hAnsiTheme="majorBidi" w:cstheme="majorBidi"/>
                <w:color w:val="000000"/>
                <w:sz w:val="24"/>
                <w:szCs w:val="24"/>
              </w:rPr>
            </w:pPr>
            <w:r w:rsidRPr="00DB57F7">
              <w:rPr>
                <w:rFonts w:asciiTheme="majorBidi" w:eastAsia="Arial" w:hAnsiTheme="majorBidi" w:cstheme="majorBidi"/>
                <w:color w:val="000000"/>
                <w:sz w:val="24"/>
                <w:szCs w:val="24"/>
              </w:rPr>
              <w:t>Tax evasion</w:t>
            </w:r>
          </w:p>
        </w:tc>
        <w:tc>
          <w:tcPr>
            <w:tcW w:w="2166" w:type="dxa"/>
          </w:tcPr>
          <w:p w:rsidR="00EF62D4" w:rsidRPr="00DB57F7" w:rsidRDefault="00DB57F7" w:rsidP="00DB57F7">
            <w:pPr>
              <w:spacing w:line="276" w:lineRule="auto"/>
              <w:jc w:val="both"/>
              <w:rPr>
                <w:rFonts w:asciiTheme="majorBidi" w:eastAsia="Arial" w:hAnsiTheme="majorBidi" w:cstheme="majorBidi"/>
                <w:color w:val="000000"/>
                <w:sz w:val="24"/>
                <w:szCs w:val="24"/>
              </w:rPr>
            </w:pPr>
            <w:r>
              <w:rPr>
                <w:rFonts w:asciiTheme="majorBidi" w:eastAsia="Arial" w:hAnsiTheme="majorBidi" w:cstheme="majorBidi"/>
                <w:i/>
                <w:color w:val="000000"/>
                <w:sz w:val="24"/>
                <w:szCs w:val="24"/>
              </w:rPr>
              <w:t>T</w:t>
            </w:r>
            <w:r w:rsidR="00D83EF7" w:rsidRPr="00DB57F7">
              <w:rPr>
                <w:rFonts w:asciiTheme="majorBidi" w:eastAsia="Arial" w:hAnsiTheme="majorBidi" w:cstheme="majorBidi"/>
                <w:i/>
                <w:color w:val="000000"/>
                <w:sz w:val="24"/>
                <w:szCs w:val="24"/>
              </w:rPr>
              <w:t xml:space="preserve">ax </w:t>
            </w:r>
            <w:proofErr w:type="spellStart"/>
            <w:r w:rsidR="00D83EF7" w:rsidRPr="00DB57F7">
              <w:rPr>
                <w:rFonts w:asciiTheme="majorBidi" w:eastAsia="Arial" w:hAnsiTheme="majorBidi" w:cstheme="majorBidi"/>
                <w:i/>
                <w:color w:val="000000"/>
                <w:sz w:val="24"/>
                <w:szCs w:val="24"/>
              </w:rPr>
              <w:t>avoidance</w:t>
            </w:r>
            <w:r w:rsidR="00D83EF7" w:rsidRPr="00DB57F7">
              <w:rPr>
                <w:rFonts w:asciiTheme="majorBidi" w:eastAsia="Arial" w:hAnsiTheme="majorBidi" w:cstheme="majorBidi"/>
                <w:color w:val="000000"/>
                <w:sz w:val="24"/>
                <w:szCs w:val="24"/>
              </w:rPr>
              <w:t>is</w:t>
            </w:r>
            <w:proofErr w:type="spellEnd"/>
            <w:r w:rsidR="00D83EF7" w:rsidRPr="00DB57F7">
              <w:rPr>
                <w:rFonts w:asciiTheme="majorBidi" w:eastAsia="Arial" w:hAnsiTheme="majorBidi" w:cstheme="majorBidi"/>
                <w:color w:val="000000"/>
                <w:sz w:val="24"/>
                <w:szCs w:val="24"/>
              </w:rPr>
              <w:t xml:space="preserve"> a means of fulfilling the obligation to pay taxes correctly. But the amount of tax paid can be reduced in order to obtain the expected profit and liquidity.</w:t>
            </w:r>
          </w:p>
        </w:tc>
        <w:tc>
          <w:tcPr>
            <w:tcW w:w="3652" w:type="dxa"/>
            <w:vAlign w:val="center"/>
          </w:tcPr>
          <w:p w:rsidR="00DB57F7" w:rsidRDefault="00D83EF7" w:rsidP="00DB57F7">
            <w:pPr>
              <w:spacing w:line="276" w:lineRule="auto"/>
              <w:jc w:val="center"/>
              <w:rPr>
                <w:rFonts w:asciiTheme="majorBidi" w:eastAsia="Arial" w:hAnsiTheme="majorBidi" w:cstheme="majorBidi"/>
                <w:color w:val="000000"/>
                <w:sz w:val="24"/>
                <w:szCs w:val="24"/>
              </w:rPr>
            </w:pPr>
            <w:r w:rsidRPr="00DB57F7">
              <w:rPr>
                <w:rFonts w:asciiTheme="majorBidi" w:eastAsia="Arial" w:hAnsiTheme="majorBidi" w:cstheme="majorBidi"/>
                <w:i/>
                <w:color w:val="000000"/>
                <w:sz w:val="24"/>
                <w:szCs w:val="24"/>
              </w:rPr>
              <w:t>Cash</w:t>
            </w:r>
            <w:r w:rsidR="00DB57F7">
              <w:rPr>
                <w:rFonts w:asciiTheme="majorBidi" w:eastAsia="Arial" w:hAnsiTheme="majorBidi" w:cstheme="majorBidi"/>
                <w:i/>
                <w:color w:val="000000"/>
                <w:sz w:val="24"/>
                <w:szCs w:val="24"/>
              </w:rPr>
              <w:t xml:space="preserve"> </w:t>
            </w:r>
            <w:r w:rsidRPr="00DB57F7">
              <w:rPr>
                <w:rFonts w:asciiTheme="majorBidi" w:eastAsia="Arial" w:hAnsiTheme="majorBidi" w:cstheme="majorBidi"/>
                <w:color w:val="000000"/>
                <w:sz w:val="24"/>
                <w:szCs w:val="24"/>
              </w:rPr>
              <w:t>ETR =</w:t>
            </w:r>
            <w:r w:rsidR="00DB57F7">
              <w:rPr>
                <w:rFonts w:asciiTheme="majorBidi" w:eastAsia="Arial" w:hAnsiTheme="majorBidi" w:cstheme="majorBidi"/>
                <w:color w:val="000000"/>
                <w:sz w:val="24"/>
                <w:szCs w:val="24"/>
              </w:rPr>
              <w:t xml:space="preserve"> </w:t>
            </w:r>
            <m:oMath>
              <m:f>
                <m:fPr>
                  <m:ctrlPr>
                    <w:rPr>
                      <w:rFonts w:ascii="Cambria Math" w:eastAsia="Arial" w:hAnsi="Cambria Math" w:cs="Times New Roman"/>
                      <w:i/>
                      <w:color w:val="000000"/>
                      <w:sz w:val="24"/>
                      <w:szCs w:val="24"/>
                    </w:rPr>
                  </m:ctrlPr>
                </m:fPr>
                <m:num>
                  <m:r>
                    <m:rPr>
                      <m:sty m:val="p"/>
                    </m:rPr>
                    <w:rPr>
                      <w:rFonts w:ascii="Cambria Math" w:eastAsia="Arial" w:hAnsi="Cambria Math" w:cs="Times New Roman"/>
                      <w:color w:val="000000"/>
                      <w:sz w:val="24"/>
                      <w:szCs w:val="24"/>
                    </w:rPr>
                    <m:t>Cash Tax Paid i, t</m:t>
                  </m:r>
                </m:num>
                <m:den>
                  <m:r>
                    <w:rPr>
                      <w:rFonts w:ascii="Cambria Math" w:eastAsia="Arial" w:hAnsi="Cambria Math" w:cs="Times New Roman"/>
                      <w:color w:val="000000"/>
                      <w:sz w:val="24"/>
                      <w:szCs w:val="24"/>
                    </w:rPr>
                    <m:t>Pretax Income i, t</m:t>
                  </m:r>
                </m:den>
              </m:f>
            </m:oMath>
          </w:p>
          <w:p w:rsidR="00EF62D4" w:rsidRPr="00DB57F7" w:rsidRDefault="00EF62D4" w:rsidP="00DB57F7">
            <w:pPr>
              <w:spacing w:line="276" w:lineRule="auto"/>
              <w:jc w:val="center"/>
              <w:rPr>
                <w:rFonts w:asciiTheme="majorBidi" w:eastAsia="Arial" w:hAnsiTheme="majorBidi" w:cstheme="majorBidi"/>
                <w:i/>
                <w:color w:val="000000"/>
                <w:sz w:val="24"/>
                <w:szCs w:val="24"/>
              </w:rPr>
            </w:pPr>
          </w:p>
        </w:tc>
      </w:tr>
      <w:tr w:rsidR="00EF62D4" w:rsidRPr="00DB57F7" w:rsidTr="00DB57F7">
        <w:trPr>
          <w:jc w:val="center"/>
        </w:trPr>
        <w:tc>
          <w:tcPr>
            <w:tcW w:w="1727" w:type="dxa"/>
            <w:vAlign w:val="center"/>
          </w:tcPr>
          <w:p w:rsidR="00EF62D4" w:rsidRPr="00DB57F7" w:rsidRDefault="00D83EF7" w:rsidP="00DB57F7">
            <w:pPr>
              <w:spacing w:line="276" w:lineRule="auto"/>
              <w:jc w:val="center"/>
              <w:rPr>
                <w:rFonts w:asciiTheme="majorBidi" w:eastAsia="Arial" w:hAnsiTheme="majorBidi" w:cstheme="majorBidi"/>
                <w:color w:val="000000"/>
                <w:sz w:val="24"/>
                <w:szCs w:val="24"/>
              </w:rPr>
            </w:pPr>
            <w:r w:rsidRPr="00DB57F7">
              <w:rPr>
                <w:rFonts w:asciiTheme="majorBidi" w:eastAsia="Arial" w:hAnsiTheme="majorBidi" w:cstheme="majorBidi"/>
                <w:i/>
                <w:color w:val="000000"/>
                <w:sz w:val="24"/>
                <w:szCs w:val="24"/>
              </w:rPr>
              <w:t>Debt to Equity Ratio</w:t>
            </w:r>
            <w:r w:rsidR="00DB57F7" w:rsidRPr="00DB57F7">
              <w:rPr>
                <w:rFonts w:asciiTheme="majorBidi" w:eastAsia="Arial" w:hAnsiTheme="majorBidi" w:cstheme="majorBidi"/>
                <w:i/>
                <w:color w:val="000000"/>
                <w:sz w:val="24"/>
                <w:szCs w:val="24"/>
              </w:rPr>
              <w:t xml:space="preserve"> </w:t>
            </w:r>
            <w:r w:rsidRPr="00DB57F7">
              <w:rPr>
                <w:rFonts w:asciiTheme="majorBidi" w:eastAsia="Arial" w:hAnsiTheme="majorBidi" w:cstheme="majorBidi"/>
                <w:color w:val="000000"/>
                <w:sz w:val="24"/>
                <w:szCs w:val="24"/>
              </w:rPr>
              <w:t>(DER).</w:t>
            </w:r>
          </w:p>
        </w:tc>
        <w:tc>
          <w:tcPr>
            <w:tcW w:w="2166" w:type="dxa"/>
          </w:tcPr>
          <w:p w:rsidR="00EF62D4" w:rsidRPr="00DB57F7" w:rsidRDefault="00D83EF7" w:rsidP="00DB57F7">
            <w:pPr>
              <w:spacing w:line="276" w:lineRule="auto"/>
              <w:jc w:val="both"/>
              <w:rPr>
                <w:rFonts w:asciiTheme="majorBidi" w:eastAsia="Arial" w:hAnsiTheme="majorBidi" w:cstheme="majorBidi"/>
                <w:color w:val="000000"/>
                <w:sz w:val="24"/>
                <w:szCs w:val="24"/>
              </w:rPr>
            </w:pPr>
            <w:r w:rsidRPr="00DB57F7">
              <w:rPr>
                <w:rFonts w:asciiTheme="majorBidi" w:eastAsia="Arial" w:hAnsiTheme="majorBidi" w:cstheme="majorBidi"/>
                <w:i/>
                <w:color w:val="000000"/>
                <w:sz w:val="24"/>
                <w:szCs w:val="24"/>
              </w:rPr>
              <w:t>Debt to Equity Ratio</w:t>
            </w:r>
            <w:r w:rsidR="00CD020B" w:rsidRPr="00DB57F7">
              <w:rPr>
                <w:rFonts w:asciiTheme="majorBidi" w:eastAsia="Arial" w:hAnsiTheme="majorBidi" w:cstheme="majorBidi"/>
                <w:i/>
                <w:color w:val="000000"/>
                <w:sz w:val="24"/>
                <w:szCs w:val="24"/>
              </w:rPr>
              <w:t xml:space="preserve"> </w:t>
            </w:r>
            <w:r w:rsidRPr="00DB57F7">
              <w:rPr>
                <w:rFonts w:asciiTheme="majorBidi" w:eastAsia="Arial" w:hAnsiTheme="majorBidi" w:cstheme="majorBidi"/>
                <w:color w:val="000000"/>
                <w:sz w:val="24"/>
                <w:szCs w:val="24"/>
              </w:rPr>
              <w:t>(DER) namely the comparison used to assess debt with equity.</w:t>
            </w:r>
          </w:p>
        </w:tc>
        <w:tc>
          <w:tcPr>
            <w:tcW w:w="3652" w:type="dxa"/>
            <w:vAlign w:val="center"/>
          </w:tcPr>
          <w:p w:rsidR="00EF62D4" w:rsidRPr="00DB57F7" w:rsidRDefault="00D83EF7" w:rsidP="00DB57F7">
            <w:pPr>
              <w:spacing w:line="276" w:lineRule="auto"/>
              <w:jc w:val="center"/>
              <w:rPr>
                <w:rFonts w:asciiTheme="majorBidi" w:eastAsia="Arial" w:hAnsiTheme="majorBidi" w:cstheme="majorBidi"/>
                <w:color w:val="000000"/>
                <w:sz w:val="24"/>
                <w:szCs w:val="24"/>
              </w:rPr>
            </w:pPr>
            <w:r w:rsidRPr="00DB57F7">
              <w:rPr>
                <w:rFonts w:asciiTheme="majorBidi" w:eastAsia="Arial" w:hAnsiTheme="majorBidi" w:cstheme="majorBidi"/>
                <w:color w:val="000000"/>
                <w:sz w:val="24"/>
                <w:szCs w:val="24"/>
              </w:rPr>
              <w:t xml:space="preserve">DER = </w:t>
            </w:r>
            <m:oMath>
              <m:f>
                <m:fPr>
                  <m:ctrlPr>
                    <w:rPr>
                      <w:rFonts w:ascii="Cambria Math" w:eastAsia="Arial" w:hAnsi="Cambria Math" w:cs="Times New Roman"/>
                      <w:i/>
                      <w:color w:val="000000"/>
                      <w:sz w:val="24"/>
                      <w:szCs w:val="24"/>
                    </w:rPr>
                  </m:ctrlPr>
                </m:fPr>
                <m:num>
                  <m:r>
                    <m:rPr>
                      <m:sty m:val="p"/>
                    </m:rPr>
                    <w:rPr>
                      <w:rFonts w:ascii="Cambria Math" w:eastAsia="Arial" w:hAnsi="Cambria Math" w:cstheme="majorBidi"/>
                      <w:color w:val="000000"/>
                      <w:sz w:val="24"/>
                      <w:szCs w:val="24"/>
                    </w:rPr>
                    <m:t>Total Debt</m:t>
                  </m:r>
                </m:num>
                <m:den>
                  <m:r>
                    <m:rPr>
                      <m:sty m:val="p"/>
                    </m:rPr>
                    <w:rPr>
                      <w:rFonts w:ascii="Cambria Math" w:eastAsia="Arial" w:hAnsi="Cambria Math" w:cstheme="majorBidi"/>
                      <w:color w:val="000000"/>
                      <w:sz w:val="24"/>
                      <w:szCs w:val="24"/>
                    </w:rPr>
                    <m:t>Total Capital</m:t>
                  </m:r>
                </m:den>
              </m:f>
            </m:oMath>
          </w:p>
          <w:p w:rsidR="00EF62D4" w:rsidRPr="00DB57F7" w:rsidRDefault="00EF62D4" w:rsidP="00DB57F7">
            <w:pPr>
              <w:spacing w:line="276" w:lineRule="auto"/>
              <w:jc w:val="center"/>
              <w:rPr>
                <w:rFonts w:asciiTheme="majorBidi" w:eastAsia="Arial" w:hAnsiTheme="majorBidi" w:cstheme="majorBidi"/>
                <w:color w:val="000000"/>
                <w:sz w:val="24"/>
                <w:szCs w:val="24"/>
              </w:rPr>
            </w:pPr>
          </w:p>
        </w:tc>
      </w:tr>
    </w:tbl>
    <w:p w:rsidR="00BC52A4" w:rsidRDefault="00BC52A4" w:rsidP="00BC52A4">
      <w:pPr>
        <w:pStyle w:val="Bab3Heading2"/>
        <w:spacing w:after="0" w:line="276" w:lineRule="auto"/>
        <w:ind w:left="0" w:firstLine="0"/>
        <w:rPr>
          <w:rFonts w:asciiTheme="majorBidi" w:hAnsiTheme="majorBidi" w:cstheme="majorBidi"/>
          <w:b w:val="0"/>
          <w:lang w:val="id-ID"/>
        </w:rPr>
      </w:pPr>
      <w:bookmarkStart w:id="4" w:name="_Toc109907788"/>
    </w:p>
    <w:p w:rsidR="00EF62D4" w:rsidRPr="00BC52A4" w:rsidRDefault="000C6CF1" w:rsidP="00BC52A4">
      <w:pPr>
        <w:pStyle w:val="Bab3Heading2"/>
        <w:spacing w:before="120" w:after="0" w:line="276" w:lineRule="auto"/>
        <w:ind w:left="0" w:firstLine="0"/>
        <w:rPr>
          <w:rFonts w:asciiTheme="majorBidi" w:hAnsiTheme="majorBidi" w:cstheme="majorBidi"/>
          <w:sz w:val="24"/>
          <w:szCs w:val="24"/>
        </w:rPr>
      </w:pPr>
      <w:r w:rsidRPr="00BC52A4">
        <w:rPr>
          <w:rFonts w:asciiTheme="majorBidi" w:hAnsiTheme="majorBidi" w:cstheme="majorBidi"/>
          <w:sz w:val="24"/>
          <w:szCs w:val="24"/>
        </w:rPr>
        <w:t xml:space="preserve">Data </w:t>
      </w:r>
      <w:r w:rsidRPr="00BC52A4">
        <w:rPr>
          <w:rFonts w:asciiTheme="majorBidi" w:hAnsiTheme="majorBidi" w:cstheme="majorBidi"/>
          <w:sz w:val="24"/>
          <w:szCs w:val="24"/>
          <w:lang w:val="id-ID"/>
        </w:rPr>
        <w:t>A</w:t>
      </w:r>
      <w:proofErr w:type="spellStart"/>
      <w:r w:rsidRPr="00BC52A4">
        <w:rPr>
          <w:rFonts w:asciiTheme="majorBidi" w:hAnsiTheme="majorBidi" w:cstheme="majorBidi"/>
          <w:sz w:val="24"/>
          <w:szCs w:val="24"/>
        </w:rPr>
        <w:t>nalysis</w:t>
      </w:r>
      <w:proofErr w:type="spellEnd"/>
      <w:r w:rsidRPr="00BC52A4">
        <w:rPr>
          <w:rFonts w:asciiTheme="majorBidi" w:hAnsiTheme="majorBidi" w:cstheme="majorBidi"/>
          <w:sz w:val="24"/>
          <w:szCs w:val="24"/>
        </w:rPr>
        <w:t xml:space="preserve"> </w:t>
      </w:r>
      <w:r w:rsidRPr="00BC52A4">
        <w:rPr>
          <w:rFonts w:asciiTheme="majorBidi" w:hAnsiTheme="majorBidi" w:cstheme="majorBidi"/>
          <w:sz w:val="24"/>
          <w:szCs w:val="24"/>
          <w:lang w:val="id-ID"/>
        </w:rPr>
        <w:t>M</w:t>
      </w:r>
      <w:proofErr w:type="spellStart"/>
      <w:r w:rsidR="00D83EF7" w:rsidRPr="00BC52A4">
        <w:rPr>
          <w:rFonts w:asciiTheme="majorBidi" w:hAnsiTheme="majorBidi" w:cstheme="majorBidi"/>
          <w:sz w:val="24"/>
          <w:szCs w:val="24"/>
        </w:rPr>
        <w:t>ethod</w:t>
      </w:r>
      <w:bookmarkEnd w:id="4"/>
      <w:proofErr w:type="spellEnd"/>
    </w:p>
    <w:p w:rsidR="00EF62D4" w:rsidRPr="00BC52A4" w:rsidRDefault="00D83EF7" w:rsidP="00BC52A4">
      <w:pPr>
        <w:numPr>
          <w:ilvl w:val="0"/>
          <w:numId w:val="20"/>
        </w:numPr>
        <w:spacing w:before="120" w:after="0"/>
        <w:ind w:left="284" w:hanging="284"/>
        <w:jc w:val="both"/>
        <w:rPr>
          <w:rFonts w:asciiTheme="majorBidi" w:eastAsia="Arial" w:hAnsiTheme="majorBidi" w:cstheme="majorBidi"/>
          <w:b/>
          <w:color w:val="000000"/>
          <w:sz w:val="24"/>
          <w:szCs w:val="24"/>
        </w:rPr>
      </w:pPr>
      <w:r w:rsidRPr="00BC52A4">
        <w:rPr>
          <w:rFonts w:asciiTheme="majorBidi" w:eastAsia="Arial" w:hAnsiTheme="majorBidi" w:cstheme="majorBidi"/>
          <w:b/>
          <w:color w:val="000000"/>
          <w:sz w:val="24"/>
          <w:szCs w:val="24"/>
        </w:rPr>
        <w:t>Descriptive Statistics</w:t>
      </w:r>
    </w:p>
    <w:p w:rsidR="002B797B" w:rsidRPr="00BC52A4" w:rsidRDefault="00D83EF7" w:rsidP="00BC52A4">
      <w:pPr>
        <w:spacing w:before="120" w:after="0"/>
        <w:jc w:val="both"/>
        <w:rPr>
          <w:rFonts w:asciiTheme="majorBidi" w:eastAsia="Arial" w:hAnsiTheme="majorBidi" w:cstheme="majorBidi"/>
          <w:color w:val="000000"/>
          <w:sz w:val="24"/>
          <w:szCs w:val="24"/>
        </w:rPr>
      </w:pPr>
      <w:r w:rsidRPr="00BC52A4">
        <w:rPr>
          <w:rFonts w:asciiTheme="majorBidi" w:eastAsia="Arial" w:hAnsiTheme="majorBidi" w:cstheme="majorBidi"/>
          <w:color w:val="000000"/>
          <w:sz w:val="24"/>
          <w:szCs w:val="24"/>
        </w:rPr>
        <w:t xml:space="preserve">Descriptive statistical analysis is used to show the nature of the sample used and to reflect the various variables in the study. Descriptive statistical analysis includes </w:t>
      </w:r>
      <w:proofErr w:type="spellStart"/>
      <w:r w:rsidRPr="00BC52A4">
        <w:rPr>
          <w:rFonts w:asciiTheme="majorBidi" w:eastAsia="Arial" w:hAnsiTheme="majorBidi" w:cstheme="majorBidi"/>
          <w:color w:val="000000"/>
          <w:sz w:val="24"/>
          <w:szCs w:val="24"/>
        </w:rPr>
        <w:t>scores</w:t>
      </w:r>
      <w:r w:rsidRPr="00BC52A4">
        <w:rPr>
          <w:rFonts w:asciiTheme="majorBidi" w:eastAsia="Arial" w:hAnsiTheme="majorBidi" w:cstheme="majorBidi"/>
          <w:sz w:val="24"/>
          <w:szCs w:val="24"/>
        </w:rPr>
        <w:t>minimum</w:t>
      </w:r>
      <w:r w:rsidRPr="00BC52A4">
        <w:rPr>
          <w:rFonts w:asciiTheme="majorBidi" w:eastAsia="Arial" w:hAnsiTheme="majorBidi" w:cstheme="majorBidi"/>
          <w:color w:val="000000"/>
          <w:sz w:val="24"/>
          <w:szCs w:val="24"/>
        </w:rPr>
        <w:t>as</w:t>
      </w:r>
      <w:proofErr w:type="spellEnd"/>
      <w:r w:rsidRPr="00BC52A4">
        <w:rPr>
          <w:rFonts w:asciiTheme="majorBidi" w:eastAsia="Arial" w:hAnsiTheme="majorBidi" w:cstheme="majorBidi"/>
          <w:color w:val="000000"/>
          <w:sz w:val="24"/>
          <w:szCs w:val="24"/>
        </w:rPr>
        <w:t xml:space="preserve"> well as the maximum, average value, number, sample, and standard deviation of all variables.</w:t>
      </w:r>
    </w:p>
    <w:p w:rsidR="00EF62D4" w:rsidRPr="00BC52A4" w:rsidRDefault="00D83EF7" w:rsidP="00BC52A4">
      <w:pPr>
        <w:numPr>
          <w:ilvl w:val="0"/>
          <w:numId w:val="20"/>
        </w:numPr>
        <w:spacing w:before="120" w:after="0"/>
        <w:ind w:left="284" w:hanging="284"/>
        <w:jc w:val="both"/>
        <w:rPr>
          <w:rFonts w:asciiTheme="majorBidi" w:eastAsia="Arial" w:hAnsiTheme="majorBidi" w:cstheme="majorBidi"/>
          <w:b/>
          <w:color w:val="000000"/>
          <w:sz w:val="24"/>
          <w:szCs w:val="24"/>
        </w:rPr>
      </w:pPr>
      <w:r w:rsidRPr="00BC52A4">
        <w:rPr>
          <w:rFonts w:asciiTheme="majorBidi" w:eastAsia="Arial" w:hAnsiTheme="majorBidi" w:cstheme="majorBidi"/>
          <w:b/>
          <w:color w:val="000000"/>
          <w:sz w:val="24"/>
          <w:szCs w:val="24"/>
        </w:rPr>
        <w:t>Classic assumption test</w:t>
      </w:r>
    </w:p>
    <w:p w:rsidR="00EF62D4" w:rsidRPr="00BC52A4" w:rsidRDefault="00D83EF7" w:rsidP="00BC52A4">
      <w:pPr>
        <w:spacing w:before="120" w:after="0"/>
        <w:jc w:val="both"/>
        <w:rPr>
          <w:rFonts w:asciiTheme="majorBidi" w:eastAsia="Arial" w:hAnsiTheme="majorBidi" w:cstheme="majorBidi"/>
          <w:color w:val="000000"/>
          <w:sz w:val="24"/>
          <w:szCs w:val="24"/>
        </w:rPr>
      </w:pPr>
      <w:r w:rsidRPr="00BC52A4">
        <w:rPr>
          <w:rFonts w:asciiTheme="majorBidi" w:eastAsia="Arial" w:hAnsiTheme="majorBidi" w:cstheme="majorBidi"/>
          <w:color w:val="000000"/>
          <w:sz w:val="24"/>
          <w:szCs w:val="24"/>
        </w:rPr>
        <w:t>The classic assumption test is to test whether the data meets the classic assumptions. The goal is to prevent biased estimates from occurring. This study uses the Normality test.</w:t>
      </w:r>
    </w:p>
    <w:p w:rsidR="00EF62D4" w:rsidRPr="00BC52A4" w:rsidRDefault="00D83EF7" w:rsidP="003A0B90">
      <w:pPr>
        <w:spacing w:before="120" w:after="0"/>
        <w:jc w:val="both"/>
        <w:rPr>
          <w:rFonts w:asciiTheme="majorBidi" w:eastAsia="Arial" w:hAnsiTheme="majorBidi" w:cstheme="majorBidi"/>
          <w:b/>
          <w:color w:val="000000"/>
          <w:sz w:val="24"/>
          <w:szCs w:val="24"/>
        </w:rPr>
      </w:pPr>
      <w:r w:rsidRPr="00BC52A4">
        <w:rPr>
          <w:rFonts w:asciiTheme="majorBidi" w:eastAsia="Arial" w:hAnsiTheme="majorBidi" w:cstheme="majorBidi"/>
          <w:b/>
          <w:color w:val="000000"/>
          <w:sz w:val="24"/>
          <w:szCs w:val="24"/>
        </w:rPr>
        <w:t>Normality test</w:t>
      </w:r>
    </w:p>
    <w:p w:rsidR="00EF62D4" w:rsidRPr="00BC52A4" w:rsidRDefault="00D83EF7" w:rsidP="003A0B90">
      <w:pPr>
        <w:spacing w:before="120" w:after="0"/>
        <w:jc w:val="both"/>
        <w:rPr>
          <w:rFonts w:asciiTheme="majorBidi" w:eastAsia="Arial" w:hAnsiTheme="majorBidi" w:cstheme="majorBidi"/>
          <w:color w:val="000000"/>
          <w:sz w:val="24"/>
          <w:szCs w:val="24"/>
        </w:rPr>
      </w:pPr>
      <w:r w:rsidRPr="00BC52A4">
        <w:rPr>
          <w:rFonts w:asciiTheme="majorBidi" w:eastAsia="Arial" w:hAnsiTheme="majorBidi" w:cstheme="majorBidi"/>
          <w:color w:val="000000"/>
          <w:sz w:val="24"/>
          <w:szCs w:val="24"/>
        </w:rPr>
        <w:t>The normality test aims to test whether the data in the regression model meet the normal distribution requirements and whether the residuals in the regression model are normally distributed. The normality test</w:t>
      </w:r>
      <w:r w:rsidRPr="00BC52A4">
        <w:rPr>
          <w:rFonts w:asciiTheme="majorBidi" w:hAnsiTheme="majorBidi" w:cstheme="majorBidi"/>
          <w:color w:val="000000"/>
          <w:sz w:val="24"/>
          <w:szCs w:val="24"/>
        </w:rPr>
        <w:t xml:space="preserve"> </w:t>
      </w:r>
      <w:r w:rsidRPr="00BC52A4">
        <w:rPr>
          <w:rFonts w:asciiTheme="majorBidi" w:eastAsia="Arial" w:hAnsiTheme="majorBidi" w:cstheme="majorBidi"/>
          <w:color w:val="000000"/>
          <w:sz w:val="24"/>
          <w:szCs w:val="24"/>
        </w:rPr>
        <w:t>used in this study, namely by</w:t>
      </w:r>
      <w:r w:rsidR="00BC52A4">
        <w:rPr>
          <w:rFonts w:asciiTheme="majorBidi" w:eastAsia="Arial" w:hAnsiTheme="majorBidi" w:cstheme="majorBidi"/>
          <w:color w:val="000000"/>
          <w:sz w:val="24"/>
          <w:szCs w:val="24"/>
        </w:rPr>
        <w:t xml:space="preserve"> </w:t>
      </w:r>
      <w:r w:rsidRPr="00BC52A4">
        <w:rPr>
          <w:rFonts w:asciiTheme="majorBidi" w:eastAsia="Arial" w:hAnsiTheme="majorBidi" w:cstheme="majorBidi"/>
          <w:i/>
          <w:sz w:val="24"/>
          <w:szCs w:val="24"/>
        </w:rPr>
        <w:t>Kolmogorov</w:t>
      </w:r>
      <w:r w:rsidR="00BC52A4">
        <w:rPr>
          <w:rFonts w:asciiTheme="majorBidi" w:eastAsia="Arial" w:hAnsiTheme="majorBidi" w:cstheme="majorBidi"/>
          <w:i/>
          <w:sz w:val="24"/>
          <w:szCs w:val="24"/>
        </w:rPr>
        <w:t xml:space="preserve"> </w:t>
      </w:r>
      <w:r w:rsidRPr="00BC52A4">
        <w:rPr>
          <w:rFonts w:asciiTheme="majorBidi" w:eastAsia="Arial" w:hAnsiTheme="majorBidi" w:cstheme="majorBidi"/>
          <w:i/>
          <w:color w:val="000000"/>
          <w:sz w:val="24"/>
          <w:szCs w:val="24"/>
        </w:rPr>
        <w:t>- Smirnov</w:t>
      </w:r>
      <w:r w:rsidR="00BC52A4">
        <w:rPr>
          <w:rFonts w:asciiTheme="majorBidi" w:eastAsia="Arial" w:hAnsiTheme="majorBidi" w:cstheme="majorBidi"/>
          <w:i/>
          <w:color w:val="000000"/>
          <w:sz w:val="24"/>
          <w:szCs w:val="24"/>
        </w:rPr>
        <w:t xml:space="preserve"> </w:t>
      </w:r>
      <w:r w:rsidRPr="00BC52A4">
        <w:rPr>
          <w:rFonts w:asciiTheme="majorBidi" w:eastAsia="Arial" w:hAnsiTheme="majorBidi" w:cstheme="majorBidi"/>
          <w:color w:val="000000"/>
          <w:sz w:val="24"/>
          <w:szCs w:val="24"/>
        </w:rPr>
        <w:t>(KS), guidelines for decision making regarding data that is close to or is a normal distribution which can be seen from:</w:t>
      </w:r>
    </w:p>
    <w:p w:rsidR="00BC52A4" w:rsidRDefault="00D83EF7" w:rsidP="00BC52A4">
      <w:pPr>
        <w:pStyle w:val="ListParagraph"/>
        <w:numPr>
          <w:ilvl w:val="0"/>
          <w:numId w:val="43"/>
        </w:numPr>
        <w:spacing w:before="120" w:after="0"/>
        <w:jc w:val="both"/>
        <w:rPr>
          <w:rFonts w:asciiTheme="majorBidi" w:eastAsia="Arial" w:hAnsiTheme="majorBidi" w:cstheme="majorBidi"/>
          <w:color w:val="000000"/>
          <w:sz w:val="24"/>
          <w:szCs w:val="24"/>
        </w:rPr>
      </w:pPr>
      <w:r w:rsidRPr="00BC52A4">
        <w:rPr>
          <w:rFonts w:asciiTheme="majorBidi" w:eastAsia="Arial" w:hAnsiTheme="majorBidi" w:cstheme="majorBidi"/>
          <w:color w:val="000000"/>
          <w:sz w:val="24"/>
          <w:szCs w:val="24"/>
        </w:rPr>
        <w:t>Significant value or probability &gt; 0.05, then the data is not normally distributed.</w:t>
      </w:r>
    </w:p>
    <w:p w:rsidR="007530AC" w:rsidRPr="00BC52A4" w:rsidRDefault="00D83EF7" w:rsidP="00BC52A4">
      <w:pPr>
        <w:pStyle w:val="ListParagraph"/>
        <w:numPr>
          <w:ilvl w:val="0"/>
          <w:numId w:val="43"/>
        </w:numPr>
        <w:spacing w:before="120" w:after="0"/>
        <w:jc w:val="both"/>
        <w:rPr>
          <w:rFonts w:asciiTheme="majorBidi" w:eastAsia="Arial" w:hAnsiTheme="majorBidi" w:cstheme="majorBidi"/>
          <w:color w:val="000000"/>
          <w:sz w:val="24"/>
          <w:szCs w:val="24"/>
        </w:rPr>
      </w:pPr>
      <w:r w:rsidRPr="00BC52A4">
        <w:rPr>
          <w:rFonts w:asciiTheme="majorBidi" w:eastAsia="Arial" w:hAnsiTheme="majorBidi" w:cstheme="majorBidi"/>
          <w:color w:val="000000"/>
          <w:sz w:val="24"/>
          <w:szCs w:val="24"/>
        </w:rPr>
        <w:t>Significance or probability value &lt;0.05, then the data is normally distributed.</w:t>
      </w:r>
    </w:p>
    <w:p w:rsidR="00B01B06" w:rsidRPr="00BC52A4" w:rsidRDefault="00B01B06" w:rsidP="003A0B90">
      <w:pPr>
        <w:spacing w:before="120" w:after="0"/>
        <w:jc w:val="both"/>
        <w:rPr>
          <w:rFonts w:asciiTheme="majorBidi" w:eastAsia="Arial" w:hAnsiTheme="majorBidi" w:cstheme="majorBidi"/>
          <w:b/>
          <w:bCs/>
          <w:color w:val="000000"/>
          <w:sz w:val="24"/>
          <w:szCs w:val="24"/>
        </w:rPr>
      </w:pPr>
      <w:r w:rsidRPr="00BC52A4">
        <w:rPr>
          <w:rFonts w:asciiTheme="majorBidi" w:eastAsia="Arial" w:hAnsiTheme="majorBidi" w:cstheme="majorBidi"/>
          <w:b/>
          <w:bCs/>
          <w:color w:val="000000"/>
          <w:sz w:val="24"/>
          <w:szCs w:val="24"/>
        </w:rPr>
        <w:t>Autocorrelation test</w:t>
      </w:r>
    </w:p>
    <w:p w:rsidR="003A0B90" w:rsidRDefault="00B01B06" w:rsidP="003A0B90">
      <w:pPr>
        <w:pBdr>
          <w:top w:val="nil"/>
          <w:left w:val="nil"/>
          <w:bottom w:val="nil"/>
          <w:right w:val="nil"/>
          <w:between w:val="nil"/>
        </w:pBdr>
        <w:spacing w:before="120" w:after="0"/>
        <w:jc w:val="both"/>
        <w:rPr>
          <w:rFonts w:asciiTheme="majorBidi" w:eastAsia="Arial" w:hAnsiTheme="majorBidi" w:cstheme="majorBidi"/>
          <w:color w:val="000000"/>
          <w:sz w:val="24"/>
          <w:szCs w:val="24"/>
        </w:rPr>
      </w:pPr>
      <w:r w:rsidRPr="00BC52A4">
        <w:rPr>
          <w:rFonts w:asciiTheme="majorBidi" w:eastAsia="Arial" w:hAnsiTheme="majorBidi" w:cstheme="majorBidi"/>
          <w:color w:val="000000"/>
          <w:sz w:val="24"/>
          <w:szCs w:val="24"/>
        </w:rPr>
        <w:t>The autocorrelation test aims to test whether in the linear regression model there is a correlation between the confounding errors in period t and the confounding errors in the t-1 (previous) period. If there is a correlation, then there is called an autocorrelation problem. Autocorrelation arises because successive observations over time are related to one another. This problem arises because the residuals are not independent from one observation to another.</w:t>
      </w:r>
      <w:r w:rsidR="003A0B90">
        <w:rPr>
          <w:rFonts w:asciiTheme="majorBidi" w:eastAsia="Arial" w:hAnsiTheme="majorBidi" w:cstheme="majorBidi"/>
          <w:color w:val="000000"/>
          <w:sz w:val="24"/>
          <w:szCs w:val="24"/>
        </w:rPr>
        <w:t xml:space="preserve"> </w:t>
      </w:r>
    </w:p>
    <w:p w:rsidR="00B01B06" w:rsidRPr="00BC52A4" w:rsidRDefault="00B01B06" w:rsidP="003A0B90">
      <w:pPr>
        <w:pBdr>
          <w:top w:val="nil"/>
          <w:left w:val="nil"/>
          <w:bottom w:val="nil"/>
          <w:right w:val="nil"/>
          <w:between w:val="nil"/>
        </w:pBdr>
        <w:spacing w:before="120" w:after="0"/>
        <w:jc w:val="both"/>
        <w:rPr>
          <w:rFonts w:asciiTheme="majorBidi" w:eastAsia="Arial" w:hAnsiTheme="majorBidi" w:cstheme="majorBidi"/>
          <w:color w:val="000000"/>
          <w:sz w:val="24"/>
          <w:szCs w:val="24"/>
        </w:rPr>
      </w:pPr>
      <w:r w:rsidRPr="00BC52A4">
        <w:rPr>
          <w:rFonts w:asciiTheme="majorBidi" w:eastAsia="Arial" w:hAnsiTheme="majorBidi" w:cstheme="majorBidi"/>
          <w:color w:val="000000"/>
          <w:sz w:val="24"/>
          <w:szCs w:val="24"/>
        </w:rPr>
        <w:lastRenderedPageBreak/>
        <w:t xml:space="preserve">The autocorrelation test was run using the Durbin-Watson test (DW test). The following is the basis for </w:t>
      </w:r>
      <w:proofErr w:type="gramStart"/>
      <w:r w:rsidRPr="00BC52A4">
        <w:rPr>
          <w:rFonts w:asciiTheme="majorBidi" w:eastAsia="Arial" w:hAnsiTheme="majorBidi" w:cstheme="majorBidi"/>
          <w:color w:val="000000"/>
          <w:sz w:val="24"/>
          <w:szCs w:val="24"/>
        </w:rPr>
        <w:t>making a decision</w:t>
      </w:r>
      <w:proofErr w:type="gramEnd"/>
      <w:r w:rsidRPr="00BC52A4">
        <w:rPr>
          <w:rFonts w:asciiTheme="majorBidi" w:eastAsia="Arial" w:hAnsiTheme="majorBidi" w:cstheme="majorBidi"/>
          <w:color w:val="000000"/>
          <w:sz w:val="24"/>
          <w:szCs w:val="24"/>
        </w:rPr>
        <w:t xml:space="preserve"> whether or not autocorrelation exists:</w:t>
      </w:r>
    </w:p>
    <w:p w:rsidR="007232F5" w:rsidRDefault="00B01B06" w:rsidP="007232F5">
      <w:pPr>
        <w:pStyle w:val="ListParagraph"/>
        <w:numPr>
          <w:ilvl w:val="0"/>
          <w:numId w:val="44"/>
        </w:numPr>
        <w:pBdr>
          <w:top w:val="nil"/>
          <w:left w:val="nil"/>
          <w:bottom w:val="nil"/>
          <w:right w:val="nil"/>
          <w:between w:val="nil"/>
        </w:pBdr>
        <w:spacing w:before="120" w:after="0"/>
        <w:jc w:val="both"/>
        <w:rPr>
          <w:rFonts w:asciiTheme="majorBidi" w:eastAsia="Arial" w:hAnsiTheme="majorBidi" w:cstheme="majorBidi"/>
          <w:color w:val="000000"/>
          <w:sz w:val="24"/>
          <w:szCs w:val="24"/>
        </w:rPr>
      </w:pPr>
      <w:r w:rsidRPr="007232F5">
        <w:rPr>
          <w:rFonts w:asciiTheme="majorBidi" w:eastAsia="Arial" w:hAnsiTheme="majorBidi" w:cstheme="majorBidi"/>
          <w:color w:val="000000"/>
          <w:sz w:val="24"/>
          <w:szCs w:val="24"/>
        </w:rPr>
        <w:t>If the DW value lies between the upper limit (du) and (4-du), then the autocorrelation coefficient = zero, meaning that there is no autocorrelation.</w:t>
      </w:r>
    </w:p>
    <w:p w:rsidR="007232F5" w:rsidRDefault="00B01B06" w:rsidP="007232F5">
      <w:pPr>
        <w:pStyle w:val="ListParagraph"/>
        <w:numPr>
          <w:ilvl w:val="0"/>
          <w:numId w:val="44"/>
        </w:numPr>
        <w:pBdr>
          <w:top w:val="nil"/>
          <w:left w:val="nil"/>
          <w:bottom w:val="nil"/>
          <w:right w:val="nil"/>
          <w:between w:val="nil"/>
        </w:pBdr>
        <w:spacing w:before="120" w:after="0"/>
        <w:jc w:val="both"/>
        <w:rPr>
          <w:rFonts w:asciiTheme="majorBidi" w:eastAsia="Arial" w:hAnsiTheme="majorBidi" w:cstheme="majorBidi"/>
          <w:color w:val="000000"/>
          <w:sz w:val="24"/>
          <w:szCs w:val="24"/>
        </w:rPr>
      </w:pPr>
      <w:r w:rsidRPr="007232F5">
        <w:rPr>
          <w:rFonts w:asciiTheme="majorBidi" w:eastAsia="Arial" w:hAnsiTheme="majorBidi" w:cstheme="majorBidi"/>
          <w:color w:val="000000"/>
          <w:sz w:val="24"/>
          <w:szCs w:val="24"/>
        </w:rPr>
        <w:t>If the DW value is lower than the lower limit (di), then the autocorrelation coefficient &gt; zero, meaning there is a positive autocorrelation.</w:t>
      </w:r>
    </w:p>
    <w:p w:rsidR="00B01B06" w:rsidRPr="007232F5" w:rsidRDefault="00B01B06" w:rsidP="007232F5">
      <w:pPr>
        <w:pStyle w:val="ListParagraph"/>
        <w:numPr>
          <w:ilvl w:val="0"/>
          <w:numId w:val="44"/>
        </w:numPr>
        <w:pBdr>
          <w:top w:val="nil"/>
          <w:left w:val="nil"/>
          <w:bottom w:val="nil"/>
          <w:right w:val="nil"/>
          <w:between w:val="nil"/>
        </w:pBdr>
        <w:spacing w:before="120" w:after="0"/>
        <w:jc w:val="both"/>
        <w:rPr>
          <w:rFonts w:asciiTheme="majorBidi" w:eastAsia="Arial" w:hAnsiTheme="majorBidi" w:cstheme="majorBidi"/>
          <w:color w:val="000000"/>
          <w:sz w:val="24"/>
          <w:szCs w:val="24"/>
        </w:rPr>
      </w:pPr>
      <w:r w:rsidRPr="007232F5">
        <w:rPr>
          <w:rFonts w:asciiTheme="majorBidi" w:eastAsia="Arial" w:hAnsiTheme="majorBidi" w:cstheme="majorBidi"/>
          <w:color w:val="000000"/>
          <w:sz w:val="24"/>
          <w:szCs w:val="24"/>
        </w:rPr>
        <w:t xml:space="preserve">If the DW value is greater than (4-di), then the autocorrelation coefficient is &lt;zero, meaning that there is </w:t>
      </w:r>
      <w:proofErr w:type="spellStart"/>
      <w:r w:rsidRPr="007232F5">
        <w:rPr>
          <w:rFonts w:asciiTheme="majorBidi" w:eastAsia="Arial" w:hAnsiTheme="majorBidi" w:cstheme="majorBidi"/>
          <w:color w:val="000000"/>
          <w:sz w:val="24"/>
          <w:szCs w:val="24"/>
        </w:rPr>
        <w:t>autocorrelation</w:t>
      </w:r>
      <w:r w:rsidRPr="007232F5">
        <w:rPr>
          <w:rFonts w:asciiTheme="majorBidi" w:eastAsia="Arial" w:hAnsiTheme="majorBidi" w:cstheme="majorBidi"/>
          <w:sz w:val="24"/>
          <w:szCs w:val="24"/>
        </w:rPr>
        <w:t>negative</w:t>
      </w:r>
      <w:proofErr w:type="spellEnd"/>
      <w:r w:rsidRPr="007232F5">
        <w:rPr>
          <w:rFonts w:asciiTheme="majorBidi" w:eastAsia="Arial" w:hAnsiTheme="majorBidi" w:cstheme="majorBidi"/>
          <w:color w:val="000000"/>
          <w:sz w:val="24"/>
          <w:szCs w:val="24"/>
        </w:rPr>
        <w:t>. If the DW value is at (4-du) and (di), then the results cannot be concluded.</w:t>
      </w:r>
    </w:p>
    <w:p w:rsidR="00EF62D4" w:rsidRPr="00357DEE" w:rsidRDefault="000C6CF1" w:rsidP="00357DEE">
      <w:pPr>
        <w:pStyle w:val="Bab3Heading2"/>
        <w:widowControl w:val="0"/>
        <w:spacing w:before="120" w:after="0" w:line="276" w:lineRule="auto"/>
        <w:rPr>
          <w:rFonts w:asciiTheme="majorBidi" w:hAnsiTheme="majorBidi" w:cstheme="majorBidi"/>
          <w:sz w:val="24"/>
          <w:szCs w:val="24"/>
        </w:rPr>
      </w:pPr>
      <w:bookmarkStart w:id="5" w:name="_Toc109907789"/>
      <w:r w:rsidRPr="00357DEE">
        <w:rPr>
          <w:rFonts w:asciiTheme="majorBidi" w:hAnsiTheme="majorBidi" w:cstheme="majorBidi"/>
          <w:sz w:val="24"/>
          <w:szCs w:val="24"/>
        </w:rPr>
        <w:t xml:space="preserve">Hypothesis </w:t>
      </w:r>
      <w:r w:rsidRPr="00357DEE">
        <w:rPr>
          <w:rFonts w:asciiTheme="majorBidi" w:hAnsiTheme="majorBidi" w:cstheme="majorBidi"/>
          <w:sz w:val="24"/>
          <w:szCs w:val="24"/>
          <w:lang w:val="id-ID"/>
        </w:rPr>
        <w:t>T</w:t>
      </w:r>
      <w:proofErr w:type="spellStart"/>
      <w:r w:rsidR="00D83EF7" w:rsidRPr="00357DEE">
        <w:rPr>
          <w:rFonts w:asciiTheme="majorBidi" w:hAnsiTheme="majorBidi" w:cstheme="majorBidi"/>
          <w:sz w:val="24"/>
          <w:szCs w:val="24"/>
        </w:rPr>
        <w:t>esting</w:t>
      </w:r>
      <w:bookmarkEnd w:id="5"/>
      <w:proofErr w:type="spellEnd"/>
    </w:p>
    <w:p w:rsidR="00EF62D4" w:rsidRPr="00357DEE" w:rsidRDefault="00D83EF7" w:rsidP="008A16C0">
      <w:pPr>
        <w:widowControl w:val="0"/>
        <w:spacing w:before="120" w:after="0"/>
        <w:jc w:val="both"/>
        <w:rPr>
          <w:rFonts w:asciiTheme="majorBidi" w:eastAsia="Arial" w:hAnsiTheme="majorBidi" w:cstheme="majorBidi"/>
          <w:b/>
          <w:color w:val="000000"/>
          <w:sz w:val="24"/>
          <w:szCs w:val="24"/>
        </w:rPr>
      </w:pPr>
      <w:r w:rsidRPr="00357DEE">
        <w:rPr>
          <w:rFonts w:asciiTheme="majorBidi" w:eastAsia="Arial" w:hAnsiTheme="majorBidi" w:cstheme="majorBidi"/>
          <w:b/>
          <w:color w:val="000000"/>
          <w:sz w:val="24"/>
          <w:szCs w:val="24"/>
        </w:rPr>
        <w:t>Simple Linear Regression Test</w:t>
      </w:r>
    </w:p>
    <w:p w:rsidR="007530AC" w:rsidRPr="008264C0" w:rsidRDefault="00D83EF7" w:rsidP="00357DEE">
      <w:pPr>
        <w:widowControl w:val="0"/>
        <w:spacing w:before="120" w:after="0"/>
        <w:jc w:val="both"/>
        <w:rPr>
          <w:rFonts w:asciiTheme="majorBidi" w:eastAsia="Arial" w:hAnsiTheme="majorBidi" w:cstheme="majorBidi"/>
          <w:color w:val="000000"/>
          <w:sz w:val="24"/>
          <w:szCs w:val="24"/>
          <w:lang w:val="id-ID"/>
        </w:rPr>
      </w:pPr>
      <w:r w:rsidRPr="00357DEE">
        <w:rPr>
          <w:rFonts w:asciiTheme="majorBidi" w:eastAsia="Arial" w:hAnsiTheme="majorBidi" w:cstheme="majorBidi"/>
          <w:color w:val="000000"/>
          <w:sz w:val="24"/>
          <w:szCs w:val="24"/>
        </w:rPr>
        <w:t xml:space="preserve">Regression analysis is a type of analysis with the intention of knowing the effect of one variable on another. The influencing variable is the independent variable, while the affected variable is said to be the dependent variable (free). If in the regression equation there is only one dependent and independent variable, then it is said to be a 'simple regression equation'. Simple linear regression is used if there is one independent variable (X) and one dependent variable (Y). The use of simple linear regression analysis aims to estimate the value of the </w:t>
      </w:r>
      <w:r w:rsidRPr="008264C0">
        <w:rPr>
          <w:rFonts w:asciiTheme="majorBidi" w:eastAsia="Arial" w:hAnsiTheme="majorBidi" w:cstheme="majorBidi"/>
          <w:color w:val="000000"/>
          <w:sz w:val="24"/>
          <w:szCs w:val="24"/>
        </w:rPr>
        <w:t>variable (Y) that is affected by the variable (X). Here is a simple linear regression formula:</w:t>
      </w:r>
    </w:p>
    <w:p w:rsidR="00EF62D4" w:rsidRPr="008264C0" w:rsidRDefault="00D83EF7" w:rsidP="00357DEE">
      <w:pPr>
        <w:rPr>
          <w:rFonts w:asciiTheme="majorBidi" w:eastAsia="Arial" w:hAnsiTheme="majorBidi" w:cstheme="majorBidi"/>
          <w:b/>
          <w:color w:val="000000"/>
          <w:sz w:val="24"/>
          <w:szCs w:val="24"/>
        </w:rPr>
      </w:pPr>
      <w:r w:rsidRPr="008264C0">
        <w:rPr>
          <w:rFonts w:asciiTheme="majorBidi" w:eastAsia="Arial" w:hAnsiTheme="majorBidi" w:cstheme="majorBidi"/>
          <w:b/>
          <w:color w:val="000000"/>
          <w:sz w:val="24"/>
          <w:szCs w:val="24"/>
        </w:rPr>
        <w:t>Y = a + bx</w:t>
      </w:r>
    </w:p>
    <w:p w:rsidR="00EF62D4" w:rsidRPr="008264C0" w:rsidRDefault="00357DEE" w:rsidP="00357DEE">
      <w:pPr>
        <w:spacing w:after="0"/>
        <w:jc w:val="both"/>
        <w:rPr>
          <w:rFonts w:asciiTheme="majorBidi" w:eastAsia="Arial" w:hAnsiTheme="majorBidi" w:cstheme="majorBidi"/>
          <w:color w:val="000000"/>
          <w:sz w:val="24"/>
          <w:szCs w:val="24"/>
        </w:rPr>
      </w:pPr>
      <w:r w:rsidRPr="008264C0">
        <w:rPr>
          <w:rFonts w:asciiTheme="majorBidi" w:eastAsia="Arial" w:hAnsiTheme="majorBidi" w:cstheme="majorBidi"/>
          <w:color w:val="000000"/>
          <w:sz w:val="24"/>
          <w:szCs w:val="24"/>
        </w:rPr>
        <w:t>D</w:t>
      </w:r>
      <w:r w:rsidR="00D83EF7" w:rsidRPr="008264C0">
        <w:rPr>
          <w:rFonts w:asciiTheme="majorBidi" w:eastAsia="Arial" w:hAnsiTheme="majorBidi" w:cstheme="majorBidi"/>
          <w:color w:val="000000"/>
          <w:sz w:val="24"/>
          <w:szCs w:val="24"/>
        </w:rPr>
        <w:t>escription:</w:t>
      </w:r>
    </w:p>
    <w:p w:rsidR="00EF62D4" w:rsidRPr="008264C0" w:rsidRDefault="00D83EF7" w:rsidP="00357DEE">
      <w:pPr>
        <w:spacing w:after="0"/>
        <w:jc w:val="both"/>
        <w:rPr>
          <w:rFonts w:asciiTheme="majorBidi" w:eastAsia="Arial" w:hAnsiTheme="majorBidi" w:cstheme="majorBidi"/>
          <w:color w:val="000000"/>
          <w:sz w:val="24"/>
          <w:szCs w:val="24"/>
        </w:rPr>
      </w:pPr>
      <w:r w:rsidRPr="008264C0">
        <w:rPr>
          <w:rFonts w:asciiTheme="majorBidi" w:eastAsia="Arial" w:hAnsiTheme="majorBidi" w:cstheme="majorBidi"/>
          <w:i/>
          <w:color w:val="000000"/>
          <w:sz w:val="24"/>
          <w:szCs w:val="24"/>
        </w:rPr>
        <w:t>Y</w:t>
      </w:r>
      <w:r w:rsidR="00357DEE" w:rsidRPr="008264C0">
        <w:rPr>
          <w:rFonts w:asciiTheme="majorBidi" w:eastAsia="Arial" w:hAnsiTheme="majorBidi" w:cstheme="majorBidi"/>
          <w:i/>
          <w:color w:val="000000"/>
          <w:sz w:val="24"/>
          <w:szCs w:val="24"/>
        </w:rPr>
        <w:tab/>
      </w:r>
      <w:r w:rsidRPr="008264C0">
        <w:rPr>
          <w:rFonts w:asciiTheme="majorBidi" w:eastAsia="Arial" w:hAnsiTheme="majorBidi" w:cstheme="majorBidi"/>
          <w:color w:val="000000"/>
          <w:sz w:val="24"/>
          <w:szCs w:val="24"/>
        </w:rPr>
        <w:t>= DER</w:t>
      </w:r>
    </w:p>
    <w:p w:rsidR="00EF62D4" w:rsidRPr="008264C0" w:rsidRDefault="00357DEE" w:rsidP="00357DEE">
      <w:pPr>
        <w:spacing w:after="0"/>
        <w:jc w:val="both"/>
        <w:rPr>
          <w:rFonts w:asciiTheme="majorBidi" w:eastAsia="Arial" w:hAnsiTheme="majorBidi" w:cstheme="majorBidi"/>
          <w:color w:val="000000"/>
          <w:sz w:val="24"/>
          <w:szCs w:val="24"/>
        </w:rPr>
      </w:pPr>
      <w:r w:rsidRPr="008264C0">
        <w:rPr>
          <w:rFonts w:asciiTheme="majorBidi" w:eastAsia="Arial" w:hAnsiTheme="majorBidi" w:cstheme="majorBidi"/>
          <w:i/>
          <w:color w:val="000000"/>
          <w:sz w:val="24"/>
          <w:szCs w:val="24"/>
        </w:rPr>
        <w:t>A</w:t>
      </w:r>
      <w:r w:rsidRPr="008264C0">
        <w:rPr>
          <w:rFonts w:asciiTheme="majorBidi" w:eastAsia="Arial" w:hAnsiTheme="majorBidi" w:cstheme="majorBidi"/>
          <w:i/>
          <w:color w:val="000000"/>
          <w:sz w:val="24"/>
          <w:szCs w:val="24"/>
        </w:rPr>
        <w:tab/>
      </w:r>
      <w:r w:rsidR="00D83EF7" w:rsidRPr="008264C0">
        <w:rPr>
          <w:rFonts w:asciiTheme="majorBidi" w:eastAsia="Arial" w:hAnsiTheme="majorBidi" w:cstheme="majorBidi"/>
          <w:color w:val="000000"/>
          <w:sz w:val="24"/>
          <w:szCs w:val="24"/>
        </w:rPr>
        <w:t>= constant regression equation</w:t>
      </w:r>
    </w:p>
    <w:p w:rsidR="00EF62D4" w:rsidRPr="008264C0" w:rsidRDefault="00D83EF7" w:rsidP="00357DEE">
      <w:pPr>
        <w:spacing w:after="0"/>
        <w:jc w:val="both"/>
        <w:rPr>
          <w:rFonts w:asciiTheme="majorBidi" w:eastAsia="Arial" w:hAnsiTheme="majorBidi" w:cstheme="majorBidi"/>
          <w:color w:val="000000"/>
          <w:sz w:val="24"/>
          <w:szCs w:val="24"/>
        </w:rPr>
      </w:pPr>
      <w:r w:rsidRPr="008264C0">
        <w:rPr>
          <w:rFonts w:asciiTheme="majorBidi" w:eastAsia="Arial" w:hAnsiTheme="majorBidi" w:cstheme="majorBidi"/>
          <w:i/>
          <w:color w:val="000000"/>
          <w:sz w:val="24"/>
          <w:szCs w:val="24"/>
        </w:rPr>
        <w:t>b1,</w:t>
      </w:r>
      <w:r w:rsidR="00357DEE" w:rsidRPr="008264C0">
        <w:rPr>
          <w:rFonts w:asciiTheme="majorBidi" w:eastAsia="Arial" w:hAnsiTheme="majorBidi" w:cstheme="majorBidi"/>
          <w:i/>
          <w:color w:val="000000"/>
          <w:sz w:val="24"/>
          <w:szCs w:val="24"/>
        </w:rPr>
        <w:t xml:space="preserve"> </w:t>
      </w:r>
      <w:r w:rsidRPr="008264C0">
        <w:rPr>
          <w:rFonts w:asciiTheme="majorBidi" w:eastAsia="Arial" w:hAnsiTheme="majorBidi" w:cstheme="majorBidi"/>
          <w:i/>
          <w:color w:val="000000"/>
          <w:sz w:val="24"/>
          <w:szCs w:val="24"/>
        </w:rPr>
        <w:t>b2,</w:t>
      </w:r>
      <w:r w:rsidR="00357DEE" w:rsidRPr="008264C0">
        <w:rPr>
          <w:rFonts w:asciiTheme="majorBidi" w:eastAsia="Arial" w:hAnsiTheme="majorBidi" w:cstheme="majorBidi"/>
          <w:i/>
          <w:color w:val="000000"/>
          <w:sz w:val="24"/>
          <w:szCs w:val="24"/>
        </w:rPr>
        <w:tab/>
      </w:r>
      <w:r w:rsidRPr="008264C0">
        <w:rPr>
          <w:rFonts w:asciiTheme="majorBidi" w:eastAsia="Arial" w:hAnsiTheme="majorBidi" w:cstheme="majorBidi"/>
          <w:color w:val="000000"/>
          <w:sz w:val="24"/>
          <w:szCs w:val="24"/>
        </w:rPr>
        <w:t>= regression coefficient</w:t>
      </w:r>
    </w:p>
    <w:p w:rsidR="008264C0" w:rsidRPr="008264C0" w:rsidRDefault="00D83EF7" w:rsidP="00045915">
      <w:pPr>
        <w:spacing w:after="0"/>
        <w:jc w:val="both"/>
        <w:rPr>
          <w:rFonts w:asciiTheme="majorBidi" w:eastAsia="Arial" w:hAnsiTheme="majorBidi" w:cstheme="majorBidi"/>
          <w:i/>
          <w:color w:val="000000"/>
          <w:sz w:val="24"/>
          <w:szCs w:val="24"/>
          <w:lang w:val="id-ID"/>
        </w:rPr>
      </w:pPr>
      <w:bookmarkStart w:id="6" w:name="_heading=h.1pxezwc" w:colFirst="0" w:colLast="0"/>
      <w:bookmarkEnd w:id="6"/>
      <w:r w:rsidRPr="008264C0">
        <w:rPr>
          <w:rFonts w:asciiTheme="majorBidi" w:eastAsia="Arial" w:hAnsiTheme="majorBidi" w:cstheme="majorBidi"/>
          <w:i/>
          <w:color w:val="000000"/>
          <w:sz w:val="24"/>
          <w:szCs w:val="24"/>
        </w:rPr>
        <w:t>x1</w:t>
      </w:r>
      <w:r w:rsidR="00357DEE" w:rsidRPr="008264C0">
        <w:rPr>
          <w:rFonts w:asciiTheme="majorBidi" w:eastAsia="Arial" w:hAnsiTheme="majorBidi" w:cstheme="majorBidi"/>
          <w:i/>
          <w:color w:val="000000"/>
          <w:sz w:val="24"/>
          <w:szCs w:val="24"/>
        </w:rPr>
        <w:tab/>
      </w:r>
      <w:r w:rsidRPr="008264C0">
        <w:rPr>
          <w:rFonts w:asciiTheme="majorBidi" w:eastAsia="Arial" w:hAnsiTheme="majorBidi" w:cstheme="majorBidi"/>
          <w:color w:val="000000"/>
          <w:sz w:val="24"/>
          <w:szCs w:val="24"/>
        </w:rPr>
        <w:t>= tax avoidance</w:t>
      </w:r>
    </w:p>
    <w:p w:rsidR="00EF62D4" w:rsidRPr="00AE1867" w:rsidRDefault="00D83EF7" w:rsidP="008A16C0">
      <w:pPr>
        <w:spacing w:before="120" w:after="0"/>
        <w:jc w:val="both"/>
        <w:rPr>
          <w:rFonts w:asciiTheme="majorBidi" w:eastAsia="Arial" w:hAnsiTheme="majorBidi" w:cstheme="majorBidi"/>
          <w:b/>
          <w:color w:val="000000"/>
          <w:sz w:val="24"/>
          <w:szCs w:val="24"/>
        </w:rPr>
      </w:pPr>
      <w:r w:rsidRPr="00AE1867">
        <w:rPr>
          <w:rFonts w:asciiTheme="majorBidi" w:eastAsia="Arial" w:hAnsiTheme="majorBidi" w:cstheme="majorBidi"/>
          <w:b/>
          <w:color w:val="000000"/>
          <w:sz w:val="24"/>
          <w:szCs w:val="24"/>
        </w:rPr>
        <w:t>T Test (Partial)</w:t>
      </w:r>
    </w:p>
    <w:p w:rsidR="00EF62D4" w:rsidRPr="00AE1867" w:rsidRDefault="00D83EF7" w:rsidP="00AE1867">
      <w:pPr>
        <w:spacing w:before="120" w:after="0"/>
        <w:jc w:val="both"/>
        <w:rPr>
          <w:rFonts w:asciiTheme="majorBidi" w:eastAsia="Arial" w:hAnsiTheme="majorBidi" w:cstheme="majorBidi"/>
          <w:color w:val="000000"/>
          <w:sz w:val="24"/>
          <w:szCs w:val="24"/>
        </w:rPr>
      </w:pPr>
      <w:r w:rsidRPr="00AE1867">
        <w:rPr>
          <w:rFonts w:asciiTheme="majorBidi" w:eastAsia="Arial" w:hAnsiTheme="majorBidi" w:cstheme="majorBidi"/>
          <w:color w:val="000000"/>
          <w:sz w:val="24"/>
          <w:szCs w:val="24"/>
        </w:rPr>
        <w:t>Hypothesis testing is a branch of inferential statistics that is used to statistically test the truth of a statement and draw conclusions whether to accept or reject the statement. The purpose of Hypothesis Testing is to establish a basis so that it can collect evidence in the form of data in determining a decision whether to reject or accept the truth of the statements or assumptions that have been made.</w:t>
      </w:r>
    </w:p>
    <w:p w:rsidR="00EF62D4" w:rsidRPr="00AE1867" w:rsidRDefault="00D83EF7" w:rsidP="00AE1867">
      <w:pPr>
        <w:spacing w:before="120" w:after="0"/>
        <w:jc w:val="both"/>
        <w:rPr>
          <w:rFonts w:asciiTheme="majorBidi" w:eastAsia="Arial" w:hAnsiTheme="majorBidi" w:cstheme="majorBidi"/>
          <w:color w:val="000000"/>
          <w:sz w:val="24"/>
          <w:szCs w:val="24"/>
        </w:rPr>
      </w:pPr>
      <w:r w:rsidRPr="00AE1867">
        <w:rPr>
          <w:rFonts w:asciiTheme="majorBidi" w:eastAsia="Arial" w:hAnsiTheme="majorBidi" w:cstheme="majorBidi"/>
          <w:color w:val="000000"/>
          <w:sz w:val="24"/>
          <w:szCs w:val="24"/>
        </w:rPr>
        <w:t xml:space="preserve">The t statistical test shows the extent to which the influence of one independent variable individually explains the dependent variable. </w:t>
      </w:r>
      <w:proofErr w:type="spellStart"/>
      <w:r w:rsidRPr="00AE1867">
        <w:rPr>
          <w:rFonts w:asciiTheme="majorBidi" w:eastAsia="Arial" w:hAnsiTheme="majorBidi" w:cstheme="majorBidi"/>
          <w:color w:val="000000"/>
          <w:sz w:val="24"/>
          <w:szCs w:val="24"/>
        </w:rPr>
        <w:t>Study</w:t>
      </w:r>
      <w:r w:rsidRPr="00AE1867">
        <w:rPr>
          <w:rFonts w:asciiTheme="majorBidi" w:eastAsia="Arial" w:hAnsiTheme="majorBidi" w:cstheme="majorBidi"/>
          <w:sz w:val="24"/>
          <w:szCs w:val="24"/>
        </w:rPr>
        <w:t>determine</w:t>
      </w:r>
      <w:r w:rsidRPr="00AE1867">
        <w:rPr>
          <w:rFonts w:asciiTheme="majorBidi" w:eastAsia="Arial" w:hAnsiTheme="majorBidi" w:cstheme="majorBidi"/>
          <w:color w:val="000000"/>
          <w:sz w:val="24"/>
          <w:szCs w:val="24"/>
        </w:rPr>
        <w:t>statistical</w:t>
      </w:r>
      <w:proofErr w:type="spellEnd"/>
      <w:r w:rsidRPr="00AE1867">
        <w:rPr>
          <w:rFonts w:asciiTheme="majorBidi" w:eastAsia="Arial" w:hAnsiTheme="majorBidi" w:cstheme="majorBidi"/>
          <w:color w:val="000000"/>
          <w:sz w:val="24"/>
          <w:szCs w:val="24"/>
        </w:rPr>
        <w:t xml:space="preserve"> test t has a significance value = 5%. The criteria for testing the hypothesis use the statistical t test, namely if the significance value of t (p-value) &lt;0.05; then the alternative hypothesis is accepted, namely the dependent variable is influenced individually by the independent variable. The following is the decision making on the t test in this study:</w:t>
      </w:r>
    </w:p>
    <w:p w:rsidR="00AE1867" w:rsidRPr="00AE1867" w:rsidRDefault="00D83EF7" w:rsidP="00AE1867">
      <w:pPr>
        <w:pStyle w:val="ListParagraph"/>
        <w:numPr>
          <w:ilvl w:val="0"/>
          <w:numId w:val="45"/>
        </w:numPr>
        <w:spacing w:before="120" w:after="0"/>
        <w:jc w:val="both"/>
        <w:rPr>
          <w:rFonts w:asciiTheme="majorBidi" w:eastAsia="Arial" w:hAnsiTheme="majorBidi" w:cstheme="majorBidi"/>
          <w:color w:val="000000"/>
          <w:sz w:val="24"/>
          <w:szCs w:val="24"/>
        </w:rPr>
      </w:pPr>
      <w:r w:rsidRPr="00AE1867">
        <w:rPr>
          <w:rFonts w:asciiTheme="majorBidi" w:eastAsia="Arial" w:hAnsiTheme="majorBidi" w:cstheme="majorBidi"/>
          <w:color w:val="000000"/>
          <w:sz w:val="24"/>
          <w:szCs w:val="24"/>
        </w:rPr>
        <w:t>If the significance probability value is &gt; 0.05, then the hypothesis is rejected. The hypothesis is rejected, meaning that the independent variable has no significant effect on the dependent variable.</w:t>
      </w:r>
    </w:p>
    <w:p w:rsidR="00B311F0" w:rsidRPr="00AE1867" w:rsidRDefault="00D83EF7" w:rsidP="00AE1867">
      <w:pPr>
        <w:pStyle w:val="ListParagraph"/>
        <w:numPr>
          <w:ilvl w:val="0"/>
          <w:numId w:val="45"/>
        </w:numPr>
        <w:spacing w:before="120" w:after="0"/>
        <w:jc w:val="both"/>
        <w:rPr>
          <w:rFonts w:asciiTheme="majorBidi" w:eastAsia="Arial" w:hAnsiTheme="majorBidi" w:cstheme="majorBidi"/>
          <w:color w:val="000000"/>
          <w:sz w:val="24"/>
          <w:szCs w:val="24"/>
        </w:rPr>
      </w:pPr>
      <w:r w:rsidRPr="00AE1867">
        <w:rPr>
          <w:rFonts w:asciiTheme="majorBidi" w:eastAsia="Arial" w:hAnsiTheme="majorBidi" w:cstheme="majorBidi"/>
          <w:color w:val="000000"/>
          <w:sz w:val="24"/>
          <w:szCs w:val="24"/>
        </w:rPr>
        <w:t>If the significance probability value is &lt;0.05, then the hypothesis is accepted. The hypothesis is accepted, meaning that the independent variables have a significant effect on the dependent variable.</w:t>
      </w:r>
    </w:p>
    <w:p w:rsidR="00B311F0" w:rsidRPr="00612BFF" w:rsidRDefault="009A0949" w:rsidP="00612BFF">
      <w:pPr>
        <w:spacing w:before="120" w:after="0"/>
        <w:jc w:val="both"/>
        <w:rPr>
          <w:rFonts w:asciiTheme="majorBidi" w:eastAsia="Arial" w:hAnsiTheme="majorBidi" w:cstheme="majorBidi"/>
          <w:b/>
          <w:color w:val="000000"/>
          <w:sz w:val="24"/>
          <w:szCs w:val="24"/>
          <w:lang w:val="id-ID"/>
        </w:rPr>
      </w:pPr>
      <w:r w:rsidRPr="00612BFF">
        <w:rPr>
          <w:rFonts w:asciiTheme="majorBidi" w:eastAsia="Arial" w:hAnsiTheme="majorBidi" w:cstheme="majorBidi"/>
          <w:b/>
          <w:color w:val="000000"/>
          <w:sz w:val="24"/>
          <w:szCs w:val="24"/>
          <w:lang w:val="id-ID"/>
        </w:rPr>
        <w:lastRenderedPageBreak/>
        <w:t xml:space="preserve">RESULTS </w:t>
      </w:r>
      <w:r w:rsidR="008A16C0">
        <w:rPr>
          <w:rFonts w:asciiTheme="majorBidi" w:eastAsia="Arial" w:hAnsiTheme="majorBidi" w:cstheme="majorBidi"/>
          <w:b/>
          <w:color w:val="000000"/>
          <w:sz w:val="24"/>
          <w:szCs w:val="24"/>
        </w:rPr>
        <w:t>&amp;</w:t>
      </w:r>
      <w:r w:rsidRPr="00612BFF">
        <w:rPr>
          <w:rFonts w:asciiTheme="majorBidi" w:eastAsia="Arial" w:hAnsiTheme="majorBidi" w:cstheme="majorBidi"/>
          <w:b/>
          <w:color w:val="000000"/>
          <w:sz w:val="24"/>
          <w:szCs w:val="24"/>
          <w:lang w:val="id-ID"/>
        </w:rPr>
        <w:t xml:space="preserve"> DISCUSSION</w:t>
      </w:r>
    </w:p>
    <w:p w:rsidR="00EF62D4" w:rsidRPr="00612BFF" w:rsidRDefault="00D83EF7" w:rsidP="00612BFF">
      <w:pPr>
        <w:pStyle w:val="Bab4Heading2"/>
        <w:widowControl w:val="0"/>
        <w:spacing w:before="120" w:after="0" w:line="276" w:lineRule="auto"/>
        <w:ind w:left="0" w:firstLine="0"/>
        <w:contextualSpacing w:val="0"/>
        <w:rPr>
          <w:rFonts w:asciiTheme="majorBidi" w:hAnsiTheme="majorBidi" w:cstheme="majorBidi"/>
          <w:sz w:val="24"/>
          <w:szCs w:val="24"/>
        </w:rPr>
      </w:pPr>
      <w:bookmarkStart w:id="7" w:name="_Toc109907792"/>
      <w:r w:rsidRPr="00612BFF">
        <w:rPr>
          <w:rFonts w:asciiTheme="majorBidi" w:hAnsiTheme="majorBidi" w:cstheme="majorBidi"/>
          <w:sz w:val="24"/>
          <w:szCs w:val="24"/>
        </w:rPr>
        <w:t>General Description of the Research Object</w:t>
      </w:r>
      <w:bookmarkEnd w:id="7"/>
    </w:p>
    <w:p w:rsidR="00EF62D4" w:rsidRPr="00612BFF" w:rsidRDefault="00D83EF7" w:rsidP="00612BFF">
      <w:pPr>
        <w:pStyle w:val="Heading2"/>
        <w:widowControl w:val="0"/>
        <w:spacing w:before="120" w:after="0"/>
        <w:ind w:left="0" w:firstLine="0"/>
        <w:contextualSpacing w:val="0"/>
        <w:jc w:val="both"/>
        <w:rPr>
          <w:rFonts w:asciiTheme="majorBidi" w:hAnsiTheme="majorBidi" w:cstheme="majorBidi"/>
          <w:b w:val="0"/>
          <w:bCs/>
          <w:sz w:val="24"/>
          <w:szCs w:val="24"/>
        </w:rPr>
      </w:pPr>
      <w:bookmarkStart w:id="8" w:name="_Toc109907793"/>
      <w:r w:rsidRPr="00612BFF">
        <w:rPr>
          <w:rFonts w:asciiTheme="majorBidi" w:hAnsiTheme="majorBidi" w:cstheme="majorBidi"/>
          <w:b w:val="0"/>
          <w:bCs/>
          <w:sz w:val="24"/>
          <w:szCs w:val="24"/>
        </w:rPr>
        <w:t xml:space="preserve">The Indonesia Stock Exchange (IDX) is a </w:t>
      </w:r>
      <w:proofErr w:type="spellStart"/>
      <w:r w:rsidRPr="00612BFF">
        <w:rPr>
          <w:rFonts w:asciiTheme="majorBidi" w:hAnsiTheme="majorBidi" w:cstheme="majorBidi"/>
          <w:b w:val="0"/>
          <w:bCs/>
          <w:sz w:val="24"/>
          <w:szCs w:val="24"/>
        </w:rPr>
        <w:t>Self Regulatory</w:t>
      </w:r>
      <w:proofErr w:type="spellEnd"/>
      <w:r w:rsidRPr="00612BFF">
        <w:rPr>
          <w:rFonts w:asciiTheme="majorBidi" w:hAnsiTheme="majorBidi" w:cstheme="majorBidi"/>
          <w:b w:val="0"/>
          <w:bCs/>
          <w:sz w:val="24"/>
          <w:szCs w:val="24"/>
        </w:rPr>
        <w:t xml:space="preserve"> Organization (SRO) that provides infrastructure to support the implementation of regular, fair and efficient securities trading and is easily accessible to all stakeholders.</w:t>
      </w:r>
      <w:bookmarkEnd w:id="8"/>
    </w:p>
    <w:p w:rsidR="00EF62D4" w:rsidRPr="00612BFF" w:rsidRDefault="00D83EF7" w:rsidP="00612BFF">
      <w:pPr>
        <w:widowControl w:val="0"/>
        <w:spacing w:before="120" w:after="0"/>
        <w:jc w:val="both"/>
        <w:rPr>
          <w:rFonts w:asciiTheme="majorBidi" w:hAnsiTheme="majorBidi" w:cstheme="majorBidi"/>
          <w:sz w:val="24"/>
          <w:szCs w:val="24"/>
        </w:rPr>
      </w:pPr>
      <w:r w:rsidRPr="00612BFF">
        <w:rPr>
          <w:rFonts w:asciiTheme="majorBidi" w:hAnsiTheme="majorBidi" w:cstheme="majorBidi"/>
          <w:sz w:val="24"/>
          <w:szCs w:val="24"/>
        </w:rPr>
        <w:t>Historically, the stock exchange or capital market has existed since the Dutch colonial era in 1912 in the Netherlands long before Indonesia's independence which was founded on national interests. Capital market activities experienced a vacuum for several periods because growth and development did not go as expected. The factors that caused this were World War I and II, the transfer of power from the colonial government to the government of the Republic of Indonesia and stock exchange operations that did not work properly due to various conditions.</w:t>
      </w:r>
    </w:p>
    <w:p w:rsidR="00EF62D4" w:rsidRPr="00612BFF" w:rsidRDefault="00D83EF7" w:rsidP="00612BFF">
      <w:pPr>
        <w:widowControl w:val="0"/>
        <w:spacing w:before="120" w:after="0"/>
        <w:jc w:val="both"/>
        <w:rPr>
          <w:rFonts w:asciiTheme="majorBidi" w:hAnsiTheme="majorBidi" w:cstheme="majorBidi"/>
          <w:sz w:val="24"/>
          <w:szCs w:val="24"/>
        </w:rPr>
      </w:pPr>
      <w:r w:rsidRPr="00612BFF">
        <w:rPr>
          <w:rFonts w:asciiTheme="majorBidi" w:hAnsiTheme="majorBidi" w:cstheme="majorBidi"/>
          <w:sz w:val="24"/>
          <w:szCs w:val="24"/>
        </w:rPr>
        <w:t>In 1977, the government of the Republic of Indonesia reactivated the capital market. Along with various incentives and regulations issued by the government, the capital market experienced growth several years later.</w:t>
      </w:r>
    </w:p>
    <w:p w:rsidR="00EF62D4" w:rsidRPr="00612BFF" w:rsidRDefault="00D83EF7" w:rsidP="00612BFF">
      <w:pPr>
        <w:widowControl w:val="0"/>
        <w:spacing w:before="120" w:after="0"/>
        <w:jc w:val="both"/>
        <w:rPr>
          <w:rFonts w:asciiTheme="majorBidi" w:hAnsiTheme="majorBidi" w:cstheme="majorBidi"/>
          <w:sz w:val="24"/>
          <w:szCs w:val="24"/>
        </w:rPr>
      </w:pPr>
      <w:r w:rsidRPr="00612BFF">
        <w:rPr>
          <w:rFonts w:asciiTheme="majorBidi" w:hAnsiTheme="majorBidi" w:cstheme="majorBidi"/>
          <w:sz w:val="24"/>
          <w:szCs w:val="24"/>
        </w:rPr>
        <w:t>The Indonesia Stock Exchange is an exchange resulting from the merger of the Jakarta Stock Exchange (BEJ) and the Surabaya Stock Exchange (BES). For the sake of operational and transaction effectiveness, the government decided to merge the Jakarta Stock Exchange as a stock market with the Surabaya Stock Exchange as a bond and derivatives market to become the Indonesia Stock Exchange (IDX). The exchange resulting from this merger began operating on December 1, 2007. There are several sectors of companies whose shares are traded on the Indonesia Stock Exchange, namely:</w:t>
      </w:r>
    </w:p>
    <w:p w:rsidR="00EF62D4" w:rsidRPr="00612BFF" w:rsidRDefault="00D83EF7" w:rsidP="00612BFF">
      <w:pPr>
        <w:pStyle w:val="ListParagraph"/>
        <w:widowControl w:val="0"/>
        <w:numPr>
          <w:ilvl w:val="0"/>
          <w:numId w:val="46"/>
        </w:numPr>
        <w:spacing w:before="120" w:after="0"/>
        <w:jc w:val="both"/>
        <w:rPr>
          <w:rFonts w:asciiTheme="majorBidi" w:hAnsiTheme="majorBidi" w:cstheme="majorBidi"/>
          <w:sz w:val="24"/>
          <w:szCs w:val="24"/>
        </w:rPr>
      </w:pPr>
      <w:r w:rsidRPr="00612BFF">
        <w:rPr>
          <w:rFonts w:asciiTheme="majorBidi" w:hAnsiTheme="majorBidi" w:cstheme="majorBidi"/>
          <w:i/>
          <w:iCs/>
          <w:sz w:val="24"/>
          <w:szCs w:val="24"/>
        </w:rPr>
        <w:t>Agriculture</w:t>
      </w:r>
    </w:p>
    <w:p w:rsidR="00EF62D4" w:rsidRPr="00612BFF" w:rsidRDefault="00D83EF7" w:rsidP="00612BFF">
      <w:pPr>
        <w:pStyle w:val="ListParagraph"/>
        <w:widowControl w:val="0"/>
        <w:numPr>
          <w:ilvl w:val="0"/>
          <w:numId w:val="46"/>
        </w:numPr>
        <w:spacing w:before="120" w:after="0"/>
        <w:jc w:val="both"/>
        <w:rPr>
          <w:rFonts w:asciiTheme="majorBidi" w:hAnsiTheme="majorBidi" w:cstheme="majorBidi"/>
          <w:sz w:val="24"/>
          <w:szCs w:val="24"/>
        </w:rPr>
      </w:pPr>
      <w:r w:rsidRPr="00612BFF">
        <w:rPr>
          <w:rFonts w:asciiTheme="majorBidi" w:hAnsiTheme="majorBidi" w:cstheme="majorBidi"/>
          <w:i/>
          <w:iCs/>
          <w:sz w:val="24"/>
          <w:szCs w:val="24"/>
        </w:rPr>
        <w:t>Basic Industry and chemicals</w:t>
      </w:r>
    </w:p>
    <w:p w:rsidR="00EF62D4" w:rsidRPr="00612BFF" w:rsidRDefault="00612BFF" w:rsidP="00612BFF">
      <w:pPr>
        <w:pStyle w:val="ListParagraph"/>
        <w:widowControl w:val="0"/>
        <w:numPr>
          <w:ilvl w:val="0"/>
          <w:numId w:val="46"/>
        </w:numPr>
        <w:spacing w:before="120" w:after="0"/>
        <w:jc w:val="both"/>
        <w:rPr>
          <w:rFonts w:asciiTheme="majorBidi" w:hAnsiTheme="majorBidi" w:cstheme="majorBidi"/>
          <w:sz w:val="24"/>
          <w:szCs w:val="24"/>
        </w:rPr>
      </w:pPr>
      <w:r w:rsidRPr="00612BFF">
        <w:rPr>
          <w:rFonts w:asciiTheme="majorBidi" w:hAnsiTheme="majorBidi" w:cstheme="majorBidi"/>
          <w:i/>
          <w:iCs/>
          <w:sz w:val="24"/>
          <w:szCs w:val="24"/>
        </w:rPr>
        <w:t xml:space="preserve">Consumer </w:t>
      </w:r>
      <w:r w:rsidR="00D83EF7" w:rsidRPr="00612BFF">
        <w:rPr>
          <w:rFonts w:asciiTheme="majorBidi" w:hAnsiTheme="majorBidi" w:cstheme="majorBidi"/>
          <w:i/>
          <w:iCs/>
          <w:sz w:val="24"/>
          <w:szCs w:val="24"/>
        </w:rPr>
        <w:t>goods industry</w:t>
      </w:r>
    </w:p>
    <w:p w:rsidR="00EF62D4" w:rsidRPr="00612BFF" w:rsidRDefault="00D83EF7" w:rsidP="00612BFF">
      <w:pPr>
        <w:pStyle w:val="ListParagraph"/>
        <w:widowControl w:val="0"/>
        <w:numPr>
          <w:ilvl w:val="0"/>
          <w:numId w:val="46"/>
        </w:numPr>
        <w:spacing w:before="120" w:after="0"/>
        <w:jc w:val="both"/>
        <w:rPr>
          <w:rFonts w:asciiTheme="majorBidi" w:hAnsiTheme="majorBidi" w:cstheme="majorBidi"/>
          <w:i/>
          <w:iCs/>
          <w:sz w:val="24"/>
          <w:szCs w:val="24"/>
        </w:rPr>
      </w:pPr>
      <w:r w:rsidRPr="00612BFF">
        <w:rPr>
          <w:rFonts w:asciiTheme="majorBidi" w:hAnsiTheme="majorBidi" w:cstheme="majorBidi"/>
          <w:i/>
          <w:iCs/>
          <w:sz w:val="24"/>
          <w:szCs w:val="24"/>
        </w:rPr>
        <w:t>Finance</w:t>
      </w:r>
    </w:p>
    <w:p w:rsidR="00EF62D4" w:rsidRPr="00612BFF" w:rsidRDefault="00612BFF" w:rsidP="00612BFF">
      <w:pPr>
        <w:pStyle w:val="ListParagraph"/>
        <w:widowControl w:val="0"/>
        <w:numPr>
          <w:ilvl w:val="0"/>
          <w:numId w:val="46"/>
        </w:numPr>
        <w:spacing w:before="120" w:after="0"/>
        <w:jc w:val="both"/>
        <w:rPr>
          <w:rFonts w:asciiTheme="majorBidi" w:hAnsiTheme="majorBidi" w:cstheme="majorBidi"/>
          <w:i/>
          <w:iCs/>
          <w:sz w:val="24"/>
          <w:szCs w:val="24"/>
        </w:rPr>
      </w:pPr>
      <w:r w:rsidRPr="00612BFF">
        <w:rPr>
          <w:rFonts w:asciiTheme="majorBidi" w:hAnsiTheme="majorBidi" w:cstheme="majorBidi"/>
          <w:i/>
          <w:iCs/>
          <w:sz w:val="24"/>
          <w:szCs w:val="24"/>
        </w:rPr>
        <w:t>Mining</w:t>
      </w:r>
    </w:p>
    <w:p w:rsidR="00EF62D4" w:rsidRPr="00612BFF" w:rsidRDefault="00D83EF7" w:rsidP="00612BFF">
      <w:pPr>
        <w:pStyle w:val="ListParagraph"/>
        <w:widowControl w:val="0"/>
        <w:numPr>
          <w:ilvl w:val="0"/>
          <w:numId w:val="46"/>
        </w:numPr>
        <w:spacing w:before="120" w:after="0"/>
        <w:jc w:val="both"/>
        <w:rPr>
          <w:rFonts w:asciiTheme="majorBidi" w:hAnsiTheme="majorBidi" w:cstheme="majorBidi"/>
          <w:i/>
          <w:iCs/>
          <w:sz w:val="24"/>
          <w:szCs w:val="24"/>
        </w:rPr>
      </w:pPr>
      <w:r w:rsidRPr="00612BFF">
        <w:rPr>
          <w:rFonts w:asciiTheme="majorBidi" w:hAnsiTheme="majorBidi" w:cstheme="majorBidi"/>
          <w:i/>
          <w:iCs/>
          <w:sz w:val="24"/>
          <w:szCs w:val="24"/>
        </w:rPr>
        <w:t>Miscellaneous industry</w:t>
      </w:r>
    </w:p>
    <w:p w:rsidR="00EF62D4" w:rsidRPr="00612BFF" w:rsidRDefault="00D83EF7" w:rsidP="00612BFF">
      <w:pPr>
        <w:pStyle w:val="ListParagraph"/>
        <w:widowControl w:val="0"/>
        <w:numPr>
          <w:ilvl w:val="0"/>
          <w:numId w:val="46"/>
        </w:numPr>
        <w:spacing w:before="120" w:after="0"/>
        <w:jc w:val="both"/>
        <w:rPr>
          <w:rFonts w:asciiTheme="majorBidi" w:hAnsiTheme="majorBidi" w:cstheme="majorBidi"/>
          <w:sz w:val="24"/>
          <w:szCs w:val="24"/>
        </w:rPr>
      </w:pPr>
      <w:r w:rsidRPr="00612BFF">
        <w:rPr>
          <w:rFonts w:asciiTheme="majorBidi" w:hAnsiTheme="majorBidi" w:cstheme="majorBidi"/>
          <w:i/>
          <w:iCs/>
          <w:sz w:val="24"/>
          <w:szCs w:val="24"/>
        </w:rPr>
        <w:t>Property, real estate, and building construction</w:t>
      </w:r>
    </w:p>
    <w:p w:rsidR="00EF62D4" w:rsidRPr="00612BFF" w:rsidRDefault="00D83EF7" w:rsidP="00612BFF">
      <w:pPr>
        <w:pStyle w:val="ListParagraph"/>
        <w:widowControl w:val="0"/>
        <w:numPr>
          <w:ilvl w:val="0"/>
          <w:numId w:val="46"/>
        </w:numPr>
        <w:spacing w:before="120" w:after="0"/>
        <w:jc w:val="both"/>
        <w:rPr>
          <w:rFonts w:asciiTheme="majorBidi" w:hAnsiTheme="majorBidi" w:cstheme="majorBidi"/>
          <w:i/>
          <w:iCs/>
        </w:rPr>
      </w:pPr>
      <w:r w:rsidRPr="00612BFF">
        <w:rPr>
          <w:rFonts w:asciiTheme="majorBidi" w:hAnsiTheme="majorBidi" w:cstheme="majorBidi"/>
          <w:i/>
          <w:iCs/>
          <w:sz w:val="24"/>
          <w:szCs w:val="24"/>
        </w:rPr>
        <w:t>Trade, service and investment</w:t>
      </w:r>
      <w:r w:rsidRPr="00612BFF">
        <w:rPr>
          <w:rFonts w:asciiTheme="majorBidi" w:hAnsiTheme="majorBidi" w:cstheme="majorBidi"/>
          <w:i/>
          <w:iCs/>
        </w:rPr>
        <w:t>.</w:t>
      </w:r>
    </w:p>
    <w:p w:rsidR="004E5020" w:rsidRPr="00612BFF" w:rsidRDefault="00D83EF7" w:rsidP="00612BFF">
      <w:pPr>
        <w:widowControl w:val="0"/>
        <w:spacing w:before="120" w:after="0"/>
        <w:jc w:val="both"/>
        <w:rPr>
          <w:rFonts w:asciiTheme="majorBidi" w:hAnsiTheme="majorBidi" w:cstheme="majorBidi"/>
          <w:sz w:val="24"/>
          <w:szCs w:val="24"/>
          <w:lang w:val="id-ID"/>
        </w:rPr>
      </w:pPr>
      <w:r w:rsidRPr="00612BFF">
        <w:rPr>
          <w:rFonts w:asciiTheme="majorBidi" w:hAnsiTheme="majorBidi" w:cstheme="majorBidi"/>
          <w:sz w:val="24"/>
          <w:szCs w:val="24"/>
        </w:rPr>
        <w:t>The vision and mission of the Indonesian Stock Exchange is to become a competitive exchange with world-class credibility and to create a trusted and credible financial market infrastructure to realize an orderly and efficient market, and accessible to all stakeholders through innovative products and services.</w:t>
      </w:r>
    </w:p>
    <w:p w:rsidR="00EF62D4" w:rsidRPr="00612BFF" w:rsidRDefault="009A0949" w:rsidP="00612BFF">
      <w:pPr>
        <w:pStyle w:val="Bab4Heading2"/>
        <w:widowControl w:val="0"/>
        <w:spacing w:before="120" w:after="0" w:line="276" w:lineRule="auto"/>
        <w:ind w:left="360"/>
        <w:contextualSpacing w:val="0"/>
        <w:rPr>
          <w:rFonts w:asciiTheme="majorBidi" w:hAnsiTheme="majorBidi" w:cstheme="majorBidi"/>
          <w:sz w:val="24"/>
          <w:szCs w:val="24"/>
          <w:lang w:val="id-ID"/>
        </w:rPr>
      </w:pPr>
      <w:r w:rsidRPr="00612BFF">
        <w:rPr>
          <w:rFonts w:asciiTheme="majorBidi" w:hAnsiTheme="majorBidi" w:cstheme="majorBidi"/>
          <w:sz w:val="24"/>
          <w:szCs w:val="24"/>
          <w:lang w:val="id-ID"/>
        </w:rPr>
        <w:t>Results</w:t>
      </w:r>
    </w:p>
    <w:p w:rsidR="00EF62D4" w:rsidRPr="00612BFF" w:rsidRDefault="00D83EF7" w:rsidP="00612BFF">
      <w:pPr>
        <w:pStyle w:val="ListParagraph1"/>
        <w:widowControl w:val="0"/>
        <w:spacing w:before="120" w:after="0"/>
        <w:ind w:left="0"/>
        <w:contextualSpacing w:val="0"/>
        <w:jc w:val="both"/>
        <w:rPr>
          <w:rFonts w:asciiTheme="majorBidi" w:eastAsia="Arial" w:hAnsiTheme="majorBidi" w:cstheme="majorBidi"/>
          <w:b/>
          <w:color w:val="000000"/>
          <w:sz w:val="24"/>
          <w:szCs w:val="24"/>
        </w:rPr>
      </w:pPr>
      <w:r w:rsidRPr="00612BFF">
        <w:rPr>
          <w:rFonts w:asciiTheme="majorBidi" w:eastAsia="Arial" w:hAnsiTheme="majorBidi" w:cstheme="majorBidi"/>
          <w:b/>
          <w:color w:val="000000"/>
          <w:sz w:val="24"/>
          <w:szCs w:val="24"/>
        </w:rPr>
        <w:t>Descriptive Statistics</w:t>
      </w:r>
    </w:p>
    <w:p w:rsidR="0094232C" w:rsidRDefault="00D83EF7" w:rsidP="00612BFF">
      <w:pPr>
        <w:pStyle w:val="ListParagraph1"/>
        <w:widowControl w:val="0"/>
        <w:spacing w:before="120" w:after="0"/>
        <w:ind w:left="0"/>
        <w:contextualSpacing w:val="0"/>
        <w:jc w:val="both"/>
        <w:rPr>
          <w:rFonts w:asciiTheme="majorBidi" w:eastAsia="Arial" w:hAnsiTheme="majorBidi" w:cstheme="majorBidi"/>
          <w:color w:val="000000"/>
          <w:sz w:val="24"/>
          <w:szCs w:val="24"/>
        </w:rPr>
      </w:pPr>
      <w:r w:rsidRPr="00612BFF">
        <w:rPr>
          <w:rFonts w:asciiTheme="majorBidi" w:eastAsia="Arial" w:hAnsiTheme="majorBidi" w:cstheme="majorBidi"/>
          <w:color w:val="000000"/>
          <w:sz w:val="24"/>
          <w:szCs w:val="24"/>
        </w:rPr>
        <w:t>Descriptive statistics is a process of transforming research data in tabular form so that it is easy to understand and interpret. Descriptive statistical analysis is used to find out the description or description of a data seen from the minimum, maximum, average, number, sample, and standard deviation values ​​of the variables research namely tax avoidance (X) and DER (Y).</w:t>
      </w:r>
      <w:r w:rsidR="00612BFF" w:rsidRPr="00612BFF">
        <w:rPr>
          <w:rFonts w:asciiTheme="majorBidi" w:eastAsia="Arial" w:hAnsiTheme="majorBidi" w:cstheme="majorBidi"/>
          <w:color w:val="000000"/>
          <w:sz w:val="24"/>
          <w:szCs w:val="24"/>
        </w:rPr>
        <w:t xml:space="preserve"> </w:t>
      </w:r>
      <w:r w:rsidRPr="00612BFF">
        <w:rPr>
          <w:rFonts w:asciiTheme="majorBidi" w:eastAsia="Arial" w:hAnsiTheme="majorBidi" w:cstheme="majorBidi"/>
          <w:color w:val="000000"/>
          <w:sz w:val="24"/>
          <w:szCs w:val="24"/>
        </w:rPr>
        <w:t>Based on the results of the analysis can be described as</w:t>
      </w:r>
      <w:r w:rsidR="00612BFF" w:rsidRPr="00612BFF">
        <w:rPr>
          <w:rFonts w:asciiTheme="majorBidi" w:eastAsia="Arial" w:hAnsiTheme="majorBidi" w:cstheme="majorBidi"/>
          <w:color w:val="000000"/>
          <w:sz w:val="24"/>
          <w:szCs w:val="24"/>
        </w:rPr>
        <w:t xml:space="preserve"> </w:t>
      </w:r>
      <w:r w:rsidRPr="00612BFF">
        <w:rPr>
          <w:rFonts w:asciiTheme="majorBidi" w:eastAsia="Arial" w:hAnsiTheme="majorBidi" w:cstheme="majorBidi"/>
          <w:color w:val="000000"/>
          <w:sz w:val="24"/>
          <w:szCs w:val="24"/>
        </w:rPr>
        <w:t>following:</w:t>
      </w:r>
    </w:p>
    <w:p w:rsidR="00612BFF" w:rsidRPr="00612BFF" w:rsidRDefault="00612BFF" w:rsidP="00612BFF">
      <w:pPr>
        <w:pStyle w:val="ListParagraph1"/>
        <w:widowControl w:val="0"/>
        <w:spacing w:before="120" w:after="0"/>
        <w:ind w:left="0"/>
        <w:contextualSpacing w:val="0"/>
        <w:jc w:val="center"/>
        <w:rPr>
          <w:rFonts w:asciiTheme="majorBidi" w:eastAsia="Arial" w:hAnsiTheme="majorBidi" w:cstheme="majorBidi"/>
          <w:color w:val="000000"/>
          <w:sz w:val="24"/>
          <w:szCs w:val="24"/>
          <w:lang w:val="id-ID"/>
        </w:rPr>
      </w:pPr>
      <w:r w:rsidRPr="008515CD">
        <w:rPr>
          <w:rFonts w:asciiTheme="majorBidi" w:eastAsia="Arial" w:hAnsiTheme="majorBidi" w:cstheme="majorBidi"/>
          <w:b/>
          <w:color w:val="000000"/>
        </w:rPr>
        <w:t>Table 6</w:t>
      </w:r>
      <w:r>
        <w:rPr>
          <w:rFonts w:asciiTheme="majorBidi" w:eastAsia="Arial" w:hAnsiTheme="majorBidi" w:cstheme="majorBidi"/>
          <w:b/>
          <w:color w:val="000000"/>
        </w:rPr>
        <w:t xml:space="preserve">. </w:t>
      </w:r>
      <w:r w:rsidRPr="00612BFF">
        <w:rPr>
          <w:rFonts w:asciiTheme="majorBidi" w:eastAsia="Arial" w:hAnsiTheme="majorBidi" w:cstheme="majorBidi"/>
          <w:color w:val="000000"/>
        </w:rPr>
        <w:t>Descriptive Statistics Test</w:t>
      </w:r>
    </w:p>
    <w:tbl>
      <w:tblPr>
        <w:tblW w:w="8413"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120"/>
        <w:gridCol w:w="1021"/>
        <w:gridCol w:w="1020"/>
        <w:gridCol w:w="1067"/>
        <w:gridCol w:w="1098"/>
        <w:gridCol w:w="1020"/>
        <w:gridCol w:w="1067"/>
      </w:tblGrid>
      <w:tr w:rsidR="00C42D66" w:rsidRPr="00612BFF" w:rsidTr="00612BFF">
        <w:trPr>
          <w:cantSplit/>
          <w:trHeight w:val="348"/>
          <w:jc w:val="center"/>
        </w:trPr>
        <w:tc>
          <w:tcPr>
            <w:tcW w:w="2120" w:type="dxa"/>
            <w:vMerge w:val="restart"/>
            <w:shd w:val="clear" w:color="auto" w:fill="FFFFFF"/>
          </w:tcPr>
          <w:p w:rsidR="00C42D66" w:rsidRPr="00612BFF" w:rsidRDefault="00C42D66" w:rsidP="00970A21">
            <w:pPr>
              <w:widowControl w:val="0"/>
              <w:spacing w:after="0"/>
              <w:ind w:firstLine="567"/>
              <w:jc w:val="center"/>
              <w:rPr>
                <w:rFonts w:asciiTheme="majorBidi" w:eastAsia="Arial" w:hAnsiTheme="majorBidi" w:cstheme="majorBidi"/>
                <w:color w:val="000000"/>
              </w:rPr>
            </w:pPr>
          </w:p>
        </w:tc>
        <w:tc>
          <w:tcPr>
            <w:tcW w:w="1021"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N</w:t>
            </w:r>
          </w:p>
        </w:tc>
        <w:tc>
          <w:tcPr>
            <w:tcW w:w="1020"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Range</w:t>
            </w:r>
          </w:p>
        </w:tc>
        <w:tc>
          <w:tcPr>
            <w:tcW w:w="1067"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Minimum</w:t>
            </w:r>
          </w:p>
        </w:tc>
        <w:tc>
          <w:tcPr>
            <w:tcW w:w="1098"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Maximum</w:t>
            </w:r>
          </w:p>
        </w:tc>
        <w:tc>
          <w:tcPr>
            <w:tcW w:w="2087" w:type="dxa"/>
            <w:gridSpan w:val="2"/>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Means</w:t>
            </w:r>
          </w:p>
        </w:tc>
      </w:tr>
      <w:tr w:rsidR="00C42D66" w:rsidRPr="00612BFF" w:rsidTr="00612BFF">
        <w:trPr>
          <w:cantSplit/>
          <w:trHeight w:val="348"/>
          <w:jc w:val="center"/>
        </w:trPr>
        <w:tc>
          <w:tcPr>
            <w:tcW w:w="2120" w:type="dxa"/>
            <w:vMerge/>
            <w:shd w:val="clear" w:color="auto" w:fill="FFFFFF"/>
          </w:tcPr>
          <w:p w:rsidR="00C42D66" w:rsidRPr="00612BFF" w:rsidRDefault="00C42D66" w:rsidP="00970A21">
            <w:pPr>
              <w:widowControl w:val="0"/>
              <w:spacing w:after="0"/>
              <w:ind w:firstLine="567"/>
              <w:jc w:val="center"/>
              <w:rPr>
                <w:rFonts w:asciiTheme="majorBidi" w:eastAsia="Arial" w:hAnsiTheme="majorBidi" w:cstheme="majorBidi"/>
                <w:color w:val="000000"/>
              </w:rPr>
            </w:pPr>
          </w:p>
        </w:tc>
        <w:tc>
          <w:tcPr>
            <w:tcW w:w="1021"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Statistics</w:t>
            </w:r>
          </w:p>
        </w:tc>
        <w:tc>
          <w:tcPr>
            <w:tcW w:w="1020"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Statistics</w:t>
            </w:r>
          </w:p>
        </w:tc>
        <w:tc>
          <w:tcPr>
            <w:tcW w:w="1067"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Statistics</w:t>
            </w:r>
          </w:p>
        </w:tc>
        <w:tc>
          <w:tcPr>
            <w:tcW w:w="1098"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Statistics</w:t>
            </w:r>
          </w:p>
        </w:tc>
        <w:tc>
          <w:tcPr>
            <w:tcW w:w="1020"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Statistics</w:t>
            </w:r>
          </w:p>
        </w:tc>
        <w:tc>
          <w:tcPr>
            <w:tcW w:w="1067" w:type="dxa"/>
            <w:shd w:val="clear" w:color="auto" w:fill="FFFFFF"/>
          </w:tcPr>
          <w:p w:rsidR="00C42D66" w:rsidRPr="00612BFF" w:rsidRDefault="00C42D66" w:rsidP="00612BFF">
            <w:pPr>
              <w:widowControl w:val="0"/>
              <w:spacing w:after="0"/>
              <w:ind w:firstLine="567"/>
              <w:jc w:val="right"/>
              <w:rPr>
                <w:rFonts w:asciiTheme="majorBidi" w:eastAsia="Arial" w:hAnsiTheme="majorBidi" w:cstheme="majorBidi"/>
                <w:color w:val="000000"/>
              </w:rPr>
            </w:pPr>
            <w:r w:rsidRPr="00612BFF">
              <w:rPr>
                <w:rFonts w:asciiTheme="majorBidi" w:eastAsia="Arial" w:hAnsiTheme="majorBidi" w:cstheme="majorBidi"/>
                <w:color w:val="000000"/>
              </w:rPr>
              <w:t>std. Error</w:t>
            </w:r>
          </w:p>
        </w:tc>
      </w:tr>
      <w:tr w:rsidR="00C42D66" w:rsidRPr="00612BFF" w:rsidTr="00612BFF">
        <w:trPr>
          <w:cantSplit/>
          <w:trHeight w:val="348"/>
          <w:jc w:val="center"/>
        </w:trPr>
        <w:tc>
          <w:tcPr>
            <w:tcW w:w="2120" w:type="dxa"/>
            <w:shd w:val="clear" w:color="auto" w:fill="FFFFFF"/>
            <w:vAlign w:val="center"/>
          </w:tcPr>
          <w:p w:rsidR="00C42D66" w:rsidRPr="00612BFF" w:rsidRDefault="00C42D66" w:rsidP="00970A21">
            <w:pPr>
              <w:widowControl w:val="0"/>
              <w:spacing w:after="0"/>
              <w:ind w:firstLine="567"/>
              <w:jc w:val="both"/>
              <w:rPr>
                <w:rFonts w:asciiTheme="majorBidi" w:eastAsia="Arial" w:hAnsiTheme="majorBidi" w:cstheme="majorBidi"/>
                <w:color w:val="000000"/>
              </w:rPr>
            </w:pPr>
            <w:r w:rsidRPr="00612BFF">
              <w:rPr>
                <w:rFonts w:asciiTheme="majorBidi" w:eastAsia="Arial" w:hAnsiTheme="majorBidi" w:cstheme="majorBidi"/>
                <w:color w:val="000000"/>
              </w:rPr>
              <w:t>Tax evasion</w:t>
            </w:r>
          </w:p>
        </w:tc>
        <w:tc>
          <w:tcPr>
            <w:tcW w:w="1021"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99</w:t>
            </w:r>
          </w:p>
        </w:tc>
        <w:tc>
          <w:tcPr>
            <w:tcW w:w="1020"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.89</w:t>
            </w:r>
          </w:p>
        </w:tc>
        <w:tc>
          <w:tcPr>
            <w:tcW w:w="1067"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.02</w:t>
            </w:r>
          </w:p>
        </w:tc>
        <w:tc>
          <w:tcPr>
            <w:tcW w:w="1098"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.91</w:t>
            </w:r>
          </w:p>
        </w:tc>
        <w:tc>
          <w:tcPr>
            <w:tcW w:w="1020"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.2553</w:t>
            </w:r>
          </w:p>
        </w:tc>
        <w:tc>
          <w:tcPr>
            <w:tcW w:w="1067"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.01491</w:t>
            </w:r>
          </w:p>
        </w:tc>
      </w:tr>
      <w:tr w:rsidR="00C42D66" w:rsidRPr="00612BFF" w:rsidTr="00612BFF">
        <w:trPr>
          <w:cantSplit/>
          <w:trHeight w:val="321"/>
          <w:jc w:val="center"/>
        </w:trPr>
        <w:tc>
          <w:tcPr>
            <w:tcW w:w="2120" w:type="dxa"/>
            <w:shd w:val="clear" w:color="auto" w:fill="FFFFFF"/>
            <w:vAlign w:val="center"/>
          </w:tcPr>
          <w:p w:rsidR="00C42D66" w:rsidRPr="00612BFF" w:rsidRDefault="00C42D66" w:rsidP="00970A21">
            <w:pPr>
              <w:widowControl w:val="0"/>
              <w:spacing w:after="0"/>
              <w:ind w:firstLine="567"/>
              <w:jc w:val="both"/>
              <w:rPr>
                <w:rFonts w:asciiTheme="majorBidi" w:eastAsia="Arial" w:hAnsiTheme="majorBidi" w:cstheme="majorBidi"/>
                <w:color w:val="000000"/>
              </w:rPr>
            </w:pPr>
            <w:r w:rsidRPr="00612BFF">
              <w:rPr>
                <w:rFonts w:asciiTheme="majorBidi" w:eastAsia="Arial" w:hAnsiTheme="majorBidi" w:cstheme="majorBidi"/>
                <w:color w:val="000000"/>
              </w:rPr>
              <w:t>External Funding</w:t>
            </w:r>
          </w:p>
        </w:tc>
        <w:tc>
          <w:tcPr>
            <w:tcW w:w="1021"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99</w:t>
            </w:r>
          </w:p>
        </w:tc>
        <w:tc>
          <w:tcPr>
            <w:tcW w:w="1020"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2.05</w:t>
            </w:r>
          </w:p>
        </w:tc>
        <w:tc>
          <w:tcPr>
            <w:tcW w:w="1067"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.07</w:t>
            </w:r>
          </w:p>
        </w:tc>
        <w:tc>
          <w:tcPr>
            <w:tcW w:w="1098"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2.12</w:t>
            </w:r>
          </w:p>
        </w:tc>
        <w:tc>
          <w:tcPr>
            <w:tcW w:w="1020"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.8462</w:t>
            </w:r>
          </w:p>
        </w:tc>
        <w:tc>
          <w:tcPr>
            <w:tcW w:w="1067"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.05664</w:t>
            </w:r>
          </w:p>
        </w:tc>
      </w:tr>
      <w:tr w:rsidR="00C42D66" w:rsidRPr="00612BFF" w:rsidTr="00612BFF">
        <w:trPr>
          <w:cantSplit/>
          <w:trHeight w:val="321"/>
          <w:jc w:val="center"/>
        </w:trPr>
        <w:tc>
          <w:tcPr>
            <w:tcW w:w="2120" w:type="dxa"/>
            <w:shd w:val="clear" w:color="auto" w:fill="FFFFFF"/>
            <w:vAlign w:val="center"/>
          </w:tcPr>
          <w:p w:rsidR="00C42D66" w:rsidRPr="00612BFF" w:rsidRDefault="00C42D66" w:rsidP="00970A21">
            <w:pPr>
              <w:widowControl w:val="0"/>
              <w:spacing w:after="0"/>
              <w:ind w:firstLine="567"/>
              <w:jc w:val="both"/>
              <w:rPr>
                <w:rFonts w:asciiTheme="majorBidi" w:eastAsia="Arial" w:hAnsiTheme="majorBidi" w:cstheme="majorBidi"/>
                <w:color w:val="000000"/>
              </w:rPr>
            </w:pPr>
            <w:r w:rsidRPr="00612BFF">
              <w:rPr>
                <w:rFonts w:asciiTheme="majorBidi" w:eastAsia="Arial" w:hAnsiTheme="majorBidi" w:cstheme="majorBidi"/>
                <w:color w:val="000000"/>
              </w:rPr>
              <w:t>Valid N (listwise)</w:t>
            </w:r>
          </w:p>
        </w:tc>
        <w:tc>
          <w:tcPr>
            <w:tcW w:w="1021" w:type="dxa"/>
            <w:shd w:val="clear" w:color="auto" w:fill="FFFFFF"/>
            <w:vAlign w:val="center"/>
          </w:tcPr>
          <w:p w:rsidR="00C42D66" w:rsidRPr="00612BFF" w:rsidRDefault="00C42D66" w:rsidP="00970A21">
            <w:pPr>
              <w:widowControl w:val="0"/>
              <w:spacing w:after="0"/>
              <w:ind w:firstLine="567"/>
              <w:jc w:val="center"/>
              <w:rPr>
                <w:rFonts w:asciiTheme="majorBidi" w:eastAsia="Arial" w:hAnsiTheme="majorBidi" w:cstheme="majorBidi"/>
                <w:color w:val="000000"/>
              </w:rPr>
            </w:pPr>
            <w:r w:rsidRPr="00612BFF">
              <w:rPr>
                <w:rFonts w:asciiTheme="majorBidi" w:eastAsia="Arial" w:hAnsiTheme="majorBidi" w:cstheme="majorBidi"/>
                <w:color w:val="000000"/>
              </w:rPr>
              <w:t>99</w:t>
            </w:r>
          </w:p>
        </w:tc>
        <w:tc>
          <w:tcPr>
            <w:tcW w:w="1020" w:type="dxa"/>
            <w:shd w:val="clear" w:color="auto" w:fill="FFFFFF"/>
          </w:tcPr>
          <w:p w:rsidR="00C42D66" w:rsidRPr="00612BFF" w:rsidRDefault="00C42D66" w:rsidP="00970A21">
            <w:pPr>
              <w:widowControl w:val="0"/>
              <w:spacing w:after="0"/>
              <w:ind w:firstLine="567"/>
              <w:jc w:val="center"/>
              <w:rPr>
                <w:rFonts w:asciiTheme="majorBidi" w:eastAsia="Arial" w:hAnsiTheme="majorBidi" w:cstheme="majorBidi"/>
                <w:color w:val="000000"/>
              </w:rPr>
            </w:pPr>
          </w:p>
        </w:tc>
        <w:tc>
          <w:tcPr>
            <w:tcW w:w="1067" w:type="dxa"/>
            <w:shd w:val="clear" w:color="auto" w:fill="FFFFFF"/>
          </w:tcPr>
          <w:p w:rsidR="00C42D66" w:rsidRPr="00612BFF" w:rsidRDefault="00C42D66" w:rsidP="00970A21">
            <w:pPr>
              <w:widowControl w:val="0"/>
              <w:spacing w:after="0"/>
              <w:ind w:firstLine="567"/>
              <w:jc w:val="center"/>
              <w:rPr>
                <w:rFonts w:asciiTheme="majorBidi" w:eastAsia="Arial" w:hAnsiTheme="majorBidi" w:cstheme="majorBidi"/>
                <w:color w:val="000000"/>
              </w:rPr>
            </w:pPr>
          </w:p>
        </w:tc>
        <w:tc>
          <w:tcPr>
            <w:tcW w:w="1098" w:type="dxa"/>
            <w:shd w:val="clear" w:color="auto" w:fill="FFFFFF"/>
          </w:tcPr>
          <w:p w:rsidR="00C42D66" w:rsidRPr="00612BFF" w:rsidRDefault="00C42D66" w:rsidP="00970A21">
            <w:pPr>
              <w:widowControl w:val="0"/>
              <w:spacing w:after="0"/>
              <w:ind w:firstLine="567"/>
              <w:jc w:val="center"/>
              <w:rPr>
                <w:rFonts w:asciiTheme="majorBidi" w:eastAsia="Arial" w:hAnsiTheme="majorBidi" w:cstheme="majorBidi"/>
                <w:color w:val="000000"/>
              </w:rPr>
            </w:pPr>
          </w:p>
        </w:tc>
        <w:tc>
          <w:tcPr>
            <w:tcW w:w="1020" w:type="dxa"/>
            <w:shd w:val="clear" w:color="auto" w:fill="FFFFFF"/>
          </w:tcPr>
          <w:p w:rsidR="00C42D66" w:rsidRPr="00612BFF" w:rsidRDefault="00C42D66" w:rsidP="00970A21">
            <w:pPr>
              <w:widowControl w:val="0"/>
              <w:spacing w:after="0"/>
              <w:ind w:firstLine="567"/>
              <w:jc w:val="center"/>
              <w:rPr>
                <w:rFonts w:asciiTheme="majorBidi" w:eastAsia="Arial" w:hAnsiTheme="majorBidi" w:cstheme="majorBidi"/>
                <w:color w:val="000000"/>
              </w:rPr>
            </w:pPr>
          </w:p>
        </w:tc>
        <w:tc>
          <w:tcPr>
            <w:tcW w:w="1067" w:type="dxa"/>
            <w:shd w:val="clear" w:color="auto" w:fill="FFFFFF"/>
          </w:tcPr>
          <w:p w:rsidR="00C42D66" w:rsidRPr="00612BFF" w:rsidRDefault="00C42D66" w:rsidP="00970A21">
            <w:pPr>
              <w:widowControl w:val="0"/>
              <w:spacing w:after="0"/>
              <w:ind w:firstLine="567"/>
              <w:jc w:val="center"/>
              <w:rPr>
                <w:rFonts w:asciiTheme="majorBidi" w:eastAsia="Arial" w:hAnsiTheme="majorBidi" w:cstheme="majorBidi"/>
                <w:color w:val="000000"/>
              </w:rPr>
            </w:pPr>
          </w:p>
        </w:tc>
      </w:tr>
    </w:tbl>
    <w:p w:rsidR="00C42D66" w:rsidRPr="008515CD" w:rsidRDefault="00C42D66" w:rsidP="00AE5CE8">
      <w:pPr>
        <w:widowControl w:val="0"/>
        <w:spacing w:after="0"/>
        <w:rPr>
          <w:rFonts w:asciiTheme="majorBidi" w:eastAsia="Arial" w:hAnsiTheme="majorBidi" w:cstheme="majorBidi"/>
          <w:b/>
          <w:color w:val="000000"/>
        </w:rPr>
      </w:pPr>
    </w:p>
    <w:tbl>
      <w:tblPr>
        <w:tblW w:w="8464"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3918"/>
        <w:gridCol w:w="2659"/>
        <w:gridCol w:w="1887"/>
      </w:tblGrid>
      <w:tr w:rsidR="00C42D66" w:rsidRPr="00B904A6" w:rsidTr="00B904A6">
        <w:trPr>
          <w:cantSplit/>
          <w:trHeight w:val="270"/>
          <w:jc w:val="center"/>
        </w:trPr>
        <w:tc>
          <w:tcPr>
            <w:tcW w:w="3918" w:type="dxa"/>
            <w:vMerge w:val="restart"/>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p>
        </w:tc>
        <w:tc>
          <w:tcPr>
            <w:tcW w:w="2659" w:type="dxa"/>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std. Deviation</w:t>
            </w:r>
          </w:p>
        </w:tc>
        <w:tc>
          <w:tcPr>
            <w:tcW w:w="1887" w:type="dxa"/>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Variances</w:t>
            </w:r>
          </w:p>
        </w:tc>
      </w:tr>
      <w:tr w:rsidR="00C42D66" w:rsidRPr="00B904A6" w:rsidTr="00B904A6">
        <w:trPr>
          <w:cantSplit/>
          <w:trHeight w:val="160"/>
          <w:jc w:val="center"/>
        </w:trPr>
        <w:tc>
          <w:tcPr>
            <w:tcW w:w="3918" w:type="dxa"/>
            <w:vMerge/>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p>
        </w:tc>
        <w:tc>
          <w:tcPr>
            <w:tcW w:w="2659" w:type="dxa"/>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Statistics</w:t>
            </w:r>
          </w:p>
        </w:tc>
        <w:tc>
          <w:tcPr>
            <w:tcW w:w="1887" w:type="dxa"/>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Statistics</w:t>
            </w:r>
          </w:p>
        </w:tc>
      </w:tr>
      <w:tr w:rsidR="00C42D66" w:rsidRPr="00B904A6" w:rsidTr="00B904A6">
        <w:trPr>
          <w:cantSplit/>
          <w:trHeight w:val="270"/>
          <w:jc w:val="center"/>
        </w:trPr>
        <w:tc>
          <w:tcPr>
            <w:tcW w:w="3918" w:type="dxa"/>
            <w:shd w:val="clear" w:color="auto" w:fill="FFFFFF"/>
            <w:vAlign w:val="center"/>
          </w:tcPr>
          <w:p w:rsidR="00C42D66" w:rsidRPr="00B904A6" w:rsidRDefault="00C42D66" w:rsidP="00970A21">
            <w:pPr>
              <w:widowControl w:val="0"/>
              <w:spacing w:after="0"/>
              <w:ind w:firstLine="567"/>
              <w:rPr>
                <w:rFonts w:asciiTheme="majorBidi" w:eastAsia="Arial" w:hAnsiTheme="majorBidi" w:cstheme="majorBidi"/>
                <w:color w:val="000000"/>
              </w:rPr>
            </w:pPr>
            <w:r w:rsidRPr="00B904A6">
              <w:rPr>
                <w:rFonts w:asciiTheme="majorBidi" w:eastAsia="Arial" w:hAnsiTheme="majorBidi" w:cstheme="majorBidi"/>
                <w:color w:val="000000"/>
              </w:rPr>
              <w:t>Tax evasion</w:t>
            </w:r>
          </w:p>
        </w:tc>
        <w:tc>
          <w:tcPr>
            <w:tcW w:w="2659" w:type="dxa"/>
            <w:shd w:val="clear" w:color="auto" w:fill="FFFFFF"/>
            <w:vAlign w:val="center"/>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.14836</w:t>
            </w:r>
          </w:p>
        </w:tc>
        <w:tc>
          <w:tcPr>
            <w:tcW w:w="1887" w:type="dxa"/>
            <w:shd w:val="clear" w:color="auto" w:fill="FFFFFF"/>
            <w:vAlign w:val="center"/>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022</w:t>
            </w:r>
          </w:p>
        </w:tc>
      </w:tr>
      <w:tr w:rsidR="00C42D66" w:rsidRPr="00B904A6" w:rsidTr="00B904A6">
        <w:trPr>
          <w:cantSplit/>
          <w:trHeight w:val="249"/>
          <w:jc w:val="center"/>
        </w:trPr>
        <w:tc>
          <w:tcPr>
            <w:tcW w:w="3918" w:type="dxa"/>
            <w:shd w:val="clear" w:color="auto" w:fill="FFFFFF"/>
            <w:vAlign w:val="center"/>
          </w:tcPr>
          <w:p w:rsidR="00C42D66" w:rsidRPr="00B904A6" w:rsidRDefault="00C42D66" w:rsidP="00970A21">
            <w:pPr>
              <w:widowControl w:val="0"/>
              <w:spacing w:after="0"/>
              <w:ind w:firstLine="567"/>
              <w:rPr>
                <w:rFonts w:asciiTheme="majorBidi" w:eastAsia="Arial" w:hAnsiTheme="majorBidi" w:cstheme="majorBidi"/>
                <w:color w:val="000000"/>
              </w:rPr>
            </w:pPr>
            <w:r w:rsidRPr="00B904A6">
              <w:rPr>
                <w:rFonts w:asciiTheme="majorBidi" w:eastAsia="Arial" w:hAnsiTheme="majorBidi" w:cstheme="majorBidi"/>
                <w:color w:val="000000"/>
              </w:rPr>
              <w:t>External Funding</w:t>
            </w:r>
          </w:p>
        </w:tc>
        <w:tc>
          <w:tcPr>
            <w:tcW w:w="2659" w:type="dxa"/>
            <w:shd w:val="clear" w:color="auto" w:fill="FFFFFF"/>
            <w:vAlign w:val="center"/>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.56359</w:t>
            </w:r>
          </w:p>
        </w:tc>
        <w:tc>
          <w:tcPr>
            <w:tcW w:w="1887" w:type="dxa"/>
            <w:shd w:val="clear" w:color="auto" w:fill="FFFFFF"/>
            <w:vAlign w:val="center"/>
          </w:tcPr>
          <w:p w:rsidR="00C42D66" w:rsidRPr="00B904A6" w:rsidRDefault="00C42D66" w:rsidP="00970A21">
            <w:pPr>
              <w:widowControl w:val="0"/>
              <w:spacing w:after="0"/>
              <w:ind w:firstLine="567"/>
              <w:jc w:val="center"/>
              <w:rPr>
                <w:rFonts w:asciiTheme="majorBidi" w:eastAsia="Arial" w:hAnsiTheme="majorBidi" w:cstheme="majorBidi"/>
                <w:color w:val="000000"/>
              </w:rPr>
            </w:pPr>
            <w:r w:rsidRPr="00B904A6">
              <w:rPr>
                <w:rFonts w:asciiTheme="majorBidi" w:eastAsia="Arial" w:hAnsiTheme="majorBidi" w:cstheme="majorBidi"/>
                <w:color w:val="000000"/>
              </w:rPr>
              <w:t>.318</w:t>
            </w:r>
          </w:p>
        </w:tc>
      </w:tr>
      <w:tr w:rsidR="00C42D66" w:rsidRPr="00B904A6" w:rsidTr="00B904A6">
        <w:trPr>
          <w:cantSplit/>
          <w:trHeight w:val="249"/>
          <w:jc w:val="center"/>
        </w:trPr>
        <w:tc>
          <w:tcPr>
            <w:tcW w:w="3918" w:type="dxa"/>
            <w:shd w:val="clear" w:color="auto" w:fill="FFFFFF"/>
            <w:vAlign w:val="center"/>
          </w:tcPr>
          <w:p w:rsidR="00C42D66" w:rsidRPr="00B904A6" w:rsidRDefault="00C42D66" w:rsidP="00970A21">
            <w:pPr>
              <w:widowControl w:val="0"/>
              <w:spacing w:after="0"/>
              <w:ind w:firstLine="567"/>
              <w:rPr>
                <w:rFonts w:asciiTheme="majorBidi" w:eastAsia="Arial" w:hAnsiTheme="majorBidi" w:cstheme="majorBidi"/>
                <w:color w:val="000000"/>
              </w:rPr>
            </w:pPr>
            <w:r w:rsidRPr="00B904A6">
              <w:rPr>
                <w:rFonts w:asciiTheme="majorBidi" w:eastAsia="Arial" w:hAnsiTheme="majorBidi" w:cstheme="majorBidi"/>
                <w:color w:val="000000"/>
              </w:rPr>
              <w:t>Valid N (listwise)</w:t>
            </w:r>
          </w:p>
        </w:tc>
        <w:tc>
          <w:tcPr>
            <w:tcW w:w="2659" w:type="dxa"/>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p>
        </w:tc>
        <w:tc>
          <w:tcPr>
            <w:tcW w:w="1887" w:type="dxa"/>
            <w:shd w:val="clear" w:color="auto" w:fill="FFFFFF"/>
          </w:tcPr>
          <w:p w:rsidR="00C42D66" w:rsidRPr="00B904A6" w:rsidRDefault="00C42D66" w:rsidP="00970A21">
            <w:pPr>
              <w:widowControl w:val="0"/>
              <w:spacing w:after="0"/>
              <w:ind w:firstLine="567"/>
              <w:jc w:val="center"/>
              <w:rPr>
                <w:rFonts w:asciiTheme="majorBidi" w:eastAsia="Arial" w:hAnsiTheme="majorBidi" w:cstheme="majorBidi"/>
                <w:color w:val="000000"/>
              </w:rPr>
            </w:pPr>
          </w:p>
        </w:tc>
      </w:tr>
    </w:tbl>
    <w:p w:rsidR="004E5020" w:rsidRPr="00AE5CE8" w:rsidRDefault="00D83EF7" w:rsidP="00AE5CE8">
      <w:pPr>
        <w:widowControl w:val="0"/>
        <w:autoSpaceDE w:val="0"/>
        <w:autoSpaceDN w:val="0"/>
        <w:adjustRightInd w:val="0"/>
        <w:spacing w:after="0"/>
        <w:ind w:firstLine="567"/>
        <w:jc w:val="both"/>
        <w:rPr>
          <w:rFonts w:asciiTheme="majorBidi" w:hAnsiTheme="majorBidi" w:cstheme="majorBidi"/>
          <w:iCs/>
          <w:lang w:val="id-ID"/>
        </w:rPr>
      </w:pPr>
      <w:r w:rsidRPr="00B904A6">
        <w:rPr>
          <w:rFonts w:asciiTheme="majorBidi" w:hAnsiTheme="majorBidi" w:cstheme="majorBidi"/>
          <w:iCs/>
        </w:rPr>
        <w:t>Source: Data processed in 2022</w:t>
      </w:r>
    </w:p>
    <w:p w:rsidR="00EF62D4" w:rsidRPr="00AE5CE8" w:rsidRDefault="00D83EF7" w:rsidP="00AE5CE8">
      <w:pPr>
        <w:pStyle w:val="ListParagraph1"/>
        <w:widowControl w:val="0"/>
        <w:spacing w:before="120" w:after="0"/>
        <w:ind w:left="0"/>
        <w:contextualSpacing w:val="0"/>
        <w:jc w:val="both"/>
        <w:rPr>
          <w:rFonts w:asciiTheme="majorBidi" w:hAnsiTheme="majorBidi" w:cstheme="majorBidi"/>
          <w:sz w:val="24"/>
          <w:szCs w:val="24"/>
        </w:rPr>
      </w:pPr>
      <w:r w:rsidRPr="00AE5CE8">
        <w:rPr>
          <w:rFonts w:asciiTheme="majorBidi" w:hAnsiTheme="majorBidi" w:cstheme="majorBidi"/>
          <w:sz w:val="24"/>
          <w:szCs w:val="24"/>
        </w:rPr>
        <w:t>Table 4.1 is the output of descriptive statistics of all research variables with a total sample of 99. Based on the table, it can be explained descriptive statistical analysis of each variable as follows:</w:t>
      </w:r>
    </w:p>
    <w:p w:rsidR="00AE5CE8" w:rsidRPr="00AE5CE8" w:rsidRDefault="00D83EF7" w:rsidP="00AE5CE8">
      <w:pPr>
        <w:pStyle w:val="ListParagraph"/>
        <w:widowControl w:val="0"/>
        <w:numPr>
          <w:ilvl w:val="0"/>
          <w:numId w:val="47"/>
        </w:numPr>
        <w:autoSpaceDE w:val="0"/>
        <w:autoSpaceDN w:val="0"/>
        <w:adjustRightInd w:val="0"/>
        <w:spacing w:before="120" w:after="0"/>
        <w:jc w:val="both"/>
        <w:rPr>
          <w:rFonts w:asciiTheme="majorBidi" w:hAnsiTheme="majorBidi" w:cstheme="majorBidi"/>
          <w:sz w:val="24"/>
          <w:szCs w:val="24"/>
        </w:rPr>
      </w:pPr>
      <w:r w:rsidRPr="00AE5CE8">
        <w:rPr>
          <w:rFonts w:asciiTheme="majorBidi" w:hAnsiTheme="majorBidi" w:cstheme="majorBidi"/>
          <w:sz w:val="24"/>
          <w:szCs w:val="24"/>
        </w:rPr>
        <w:t>Variable X (Tax Avoidance) has a minimum value of 0.02 and a maximum value of 0.91. While the average value is 0.2553 and the standard deviation is 0.14836.</w:t>
      </w:r>
    </w:p>
    <w:p w:rsidR="00AE5CE8" w:rsidRPr="00045915" w:rsidRDefault="00D83EF7" w:rsidP="00AE5CE8">
      <w:pPr>
        <w:pStyle w:val="ListParagraph"/>
        <w:widowControl w:val="0"/>
        <w:numPr>
          <w:ilvl w:val="0"/>
          <w:numId w:val="47"/>
        </w:numPr>
        <w:autoSpaceDE w:val="0"/>
        <w:autoSpaceDN w:val="0"/>
        <w:adjustRightInd w:val="0"/>
        <w:spacing w:before="120" w:after="0"/>
        <w:jc w:val="both"/>
        <w:rPr>
          <w:rFonts w:asciiTheme="majorBidi" w:hAnsiTheme="majorBidi" w:cstheme="majorBidi"/>
          <w:sz w:val="24"/>
          <w:szCs w:val="24"/>
        </w:rPr>
      </w:pPr>
      <w:r w:rsidRPr="00AE5CE8">
        <w:rPr>
          <w:rFonts w:asciiTheme="majorBidi" w:hAnsiTheme="majorBidi" w:cstheme="majorBidi"/>
          <w:sz w:val="24"/>
          <w:szCs w:val="24"/>
        </w:rPr>
        <w:t>Variable Y (External Funding) has a minimum value of 0.07 and a maximum value of 2.12. While the average value is 0.8462 and the standard deviation is 0.56359.</w:t>
      </w:r>
    </w:p>
    <w:p w:rsidR="00EF62D4" w:rsidRPr="00AE5CE8" w:rsidRDefault="00D83EF7" w:rsidP="00AE5CE8">
      <w:pPr>
        <w:pStyle w:val="ListParagraph1"/>
        <w:widowControl w:val="0"/>
        <w:spacing w:before="120" w:after="0"/>
        <w:ind w:left="0"/>
        <w:contextualSpacing w:val="0"/>
        <w:jc w:val="both"/>
        <w:rPr>
          <w:rFonts w:asciiTheme="majorBidi" w:hAnsiTheme="majorBidi" w:cstheme="majorBidi"/>
          <w:b/>
          <w:sz w:val="24"/>
          <w:szCs w:val="24"/>
        </w:rPr>
      </w:pPr>
      <w:r w:rsidRPr="00AE5CE8">
        <w:rPr>
          <w:rFonts w:asciiTheme="majorBidi" w:hAnsiTheme="majorBidi" w:cstheme="majorBidi"/>
          <w:b/>
          <w:sz w:val="24"/>
          <w:szCs w:val="24"/>
        </w:rPr>
        <w:t>Test Assumptions</w:t>
      </w:r>
      <w:r w:rsidR="00AE5CE8">
        <w:rPr>
          <w:rFonts w:asciiTheme="majorBidi" w:hAnsiTheme="majorBidi" w:cstheme="majorBidi"/>
          <w:b/>
          <w:sz w:val="24"/>
          <w:szCs w:val="24"/>
        </w:rPr>
        <w:t xml:space="preserve"> </w:t>
      </w:r>
      <w:r w:rsidRPr="00AE5CE8">
        <w:rPr>
          <w:rFonts w:asciiTheme="majorBidi" w:eastAsia="Arial" w:hAnsiTheme="majorBidi" w:cstheme="majorBidi"/>
          <w:b/>
          <w:color w:val="000000"/>
          <w:sz w:val="24"/>
          <w:szCs w:val="24"/>
        </w:rPr>
        <w:t>Classic</w:t>
      </w:r>
    </w:p>
    <w:p w:rsidR="00AE5CE8" w:rsidRPr="008A16C0" w:rsidRDefault="00D83EF7" w:rsidP="008A16C0">
      <w:pPr>
        <w:widowControl w:val="0"/>
        <w:autoSpaceDE w:val="0"/>
        <w:autoSpaceDN w:val="0"/>
        <w:adjustRightInd w:val="0"/>
        <w:spacing w:before="120" w:after="0"/>
        <w:jc w:val="both"/>
        <w:rPr>
          <w:rFonts w:asciiTheme="majorBidi" w:hAnsiTheme="majorBidi" w:cstheme="majorBidi"/>
          <w:b/>
          <w:sz w:val="24"/>
          <w:szCs w:val="24"/>
        </w:rPr>
      </w:pPr>
      <w:r w:rsidRPr="008A16C0">
        <w:rPr>
          <w:rFonts w:asciiTheme="majorBidi" w:hAnsiTheme="majorBidi" w:cstheme="majorBidi"/>
          <w:b/>
          <w:sz w:val="24"/>
          <w:szCs w:val="24"/>
        </w:rPr>
        <w:t>Normality Test</w:t>
      </w:r>
    </w:p>
    <w:p w:rsidR="004E5020" w:rsidRPr="00AE5CE8" w:rsidRDefault="00D83EF7" w:rsidP="008A16C0">
      <w:pPr>
        <w:widowControl w:val="0"/>
        <w:autoSpaceDE w:val="0"/>
        <w:autoSpaceDN w:val="0"/>
        <w:adjustRightInd w:val="0"/>
        <w:spacing w:before="120" w:after="0"/>
        <w:jc w:val="both"/>
        <w:rPr>
          <w:rFonts w:asciiTheme="majorBidi" w:hAnsiTheme="majorBidi" w:cstheme="majorBidi"/>
          <w:b/>
          <w:sz w:val="24"/>
          <w:szCs w:val="24"/>
        </w:rPr>
      </w:pPr>
      <w:r w:rsidRPr="00AE5CE8">
        <w:rPr>
          <w:rFonts w:asciiTheme="majorBidi" w:hAnsiTheme="majorBidi" w:cstheme="majorBidi"/>
          <w:sz w:val="24"/>
          <w:szCs w:val="24"/>
        </w:rPr>
        <w:t xml:space="preserve">The normality test aims to test whether in the regression model the dependent variable and independent variable both have a normal distribution or not. To find out about the normality of the data in this study, it was done by looking at the Kolmogorov-Smirnov value. The limit for data acceptance is stated to be normally distributed if the significant value is at Kolmogorov-Smirnov&gt; 0.05. Data normality test results for </w:t>
      </w:r>
      <w:proofErr w:type="spellStart"/>
      <w:r w:rsidRPr="00AE5CE8">
        <w:rPr>
          <w:rFonts w:asciiTheme="majorBidi" w:hAnsiTheme="majorBidi" w:cstheme="majorBidi"/>
          <w:sz w:val="24"/>
          <w:szCs w:val="24"/>
        </w:rPr>
        <w:t>variables</w:t>
      </w:r>
      <w:r w:rsidRPr="00AE5CE8">
        <w:rPr>
          <w:rFonts w:asciiTheme="majorBidi" w:eastAsia="Arial" w:hAnsiTheme="majorBidi" w:cstheme="majorBidi"/>
          <w:color w:val="000000"/>
          <w:sz w:val="24"/>
          <w:szCs w:val="24"/>
        </w:rPr>
        <w:t>Tax</w:t>
      </w:r>
      <w:proofErr w:type="spellEnd"/>
      <w:r w:rsidRPr="00AE5CE8">
        <w:rPr>
          <w:rFonts w:asciiTheme="majorBidi" w:eastAsia="Arial" w:hAnsiTheme="majorBidi" w:cstheme="majorBidi"/>
          <w:color w:val="000000"/>
          <w:sz w:val="24"/>
          <w:szCs w:val="24"/>
        </w:rPr>
        <w:t xml:space="preserve"> avoidance (X) and DER (Y) can be seen as follows:</w:t>
      </w:r>
    </w:p>
    <w:p w:rsidR="00EF62D4" w:rsidRPr="00AE5CE8" w:rsidRDefault="00D83EF7" w:rsidP="00AE5CE8">
      <w:pPr>
        <w:pStyle w:val="ListParagraph1"/>
        <w:widowControl w:val="0"/>
        <w:spacing w:after="0"/>
        <w:ind w:left="0"/>
        <w:contextualSpacing w:val="0"/>
        <w:jc w:val="center"/>
        <w:rPr>
          <w:rFonts w:asciiTheme="majorBidi" w:eastAsia="Arial" w:hAnsiTheme="majorBidi" w:cstheme="majorBidi"/>
          <w:color w:val="000000"/>
          <w:sz w:val="24"/>
          <w:szCs w:val="24"/>
          <w:lang w:val="id-ID"/>
        </w:rPr>
      </w:pPr>
      <w:r w:rsidRPr="00AE5CE8">
        <w:rPr>
          <w:rFonts w:asciiTheme="majorBidi" w:eastAsia="Arial" w:hAnsiTheme="majorBidi" w:cstheme="majorBidi"/>
          <w:b/>
          <w:color w:val="000000"/>
          <w:sz w:val="24"/>
          <w:szCs w:val="24"/>
        </w:rPr>
        <w:t>Table 7</w:t>
      </w:r>
      <w:r w:rsidR="00AE5CE8" w:rsidRPr="00AE5CE8">
        <w:rPr>
          <w:rFonts w:asciiTheme="majorBidi" w:eastAsia="Arial" w:hAnsiTheme="majorBidi" w:cstheme="majorBidi"/>
          <w:b/>
          <w:color w:val="000000"/>
          <w:sz w:val="24"/>
          <w:szCs w:val="24"/>
        </w:rPr>
        <w:t xml:space="preserve">. </w:t>
      </w:r>
      <w:r w:rsidRPr="00AE5CE8">
        <w:rPr>
          <w:rFonts w:asciiTheme="majorBidi" w:eastAsia="Arial" w:hAnsiTheme="majorBidi" w:cstheme="majorBidi"/>
          <w:color w:val="000000"/>
          <w:sz w:val="24"/>
          <w:szCs w:val="24"/>
        </w:rPr>
        <w:t>Normality test</w:t>
      </w:r>
    </w:p>
    <w:p w:rsidR="00C42D66" w:rsidRPr="00AE5CE8" w:rsidRDefault="00D83EF7" w:rsidP="00970A21">
      <w:pPr>
        <w:widowControl w:val="0"/>
        <w:spacing w:after="0"/>
        <w:jc w:val="center"/>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One-Sample Kolmogorov-Smirnov Test</w:t>
      </w:r>
    </w:p>
    <w:tbl>
      <w:tblPr>
        <w:tblW w:w="5672"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475"/>
        <w:gridCol w:w="1524"/>
        <w:gridCol w:w="1673"/>
      </w:tblGrid>
      <w:tr w:rsidR="00BF7283" w:rsidRPr="00AE5CE8" w:rsidTr="00AE5CE8">
        <w:trPr>
          <w:cantSplit/>
          <w:trHeight w:val="259"/>
          <w:jc w:val="center"/>
        </w:trPr>
        <w:tc>
          <w:tcPr>
            <w:tcW w:w="5672" w:type="dxa"/>
            <w:gridSpan w:val="3"/>
            <w:shd w:val="clear" w:color="auto" w:fill="FFFFFF"/>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p>
        </w:tc>
      </w:tr>
      <w:tr w:rsidR="00BF7283" w:rsidRPr="00AE5CE8" w:rsidTr="00AE5CE8">
        <w:trPr>
          <w:cantSplit/>
          <w:trHeight w:val="542"/>
          <w:jc w:val="center"/>
        </w:trPr>
        <w:tc>
          <w:tcPr>
            <w:tcW w:w="3999" w:type="dxa"/>
            <w:gridSpan w:val="2"/>
            <w:shd w:val="clear" w:color="auto" w:fill="FFFFFF"/>
          </w:tcPr>
          <w:p w:rsidR="00BF7283" w:rsidRPr="00AE5CE8" w:rsidRDefault="00BF7283" w:rsidP="00045915">
            <w:pPr>
              <w:widowControl w:val="0"/>
              <w:spacing w:after="0" w:line="240" w:lineRule="auto"/>
              <w:jc w:val="center"/>
              <w:rPr>
                <w:rFonts w:asciiTheme="majorBidi" w:eastAsia="Arial" w:hAnsiTheme="majorBidi" w:cstheme="majorBidi"/>
                <w:color w:val="000000"/>
                <w:sz w:val="24"/>
                <w:szCs w:val="24"/>
              </w:rPr>
            </w:pPr>
            <w:r w:rsidRPr="00AE5CE8">
              <w:rPr>
                <w:rFonts w:asciiTheme="majorBidi" w:eastAsia="Arial" w:hAnsiTheme="majorBidi" w:cstheme="majorBidi"/>
                <w:bCs/>
                <w:color w:val="000000"/>
                <w:sz w:val="24"/>
                <w:szCs w:val="24"/>
              </w:rPr>
              <w:t>One-Sample Kolmogorov-Smirnov Test</w:t>
            </w:r>
          </w:p>
        </w:tc>
        <w:tc>
          <w:tcPr>
            <w:tcW w:w="1673" w:type="dxa"/>
            <w:shd w:val="clear" w:color="auto" w:fill="FFFFFF"/>
          </w:tcPr>
          <w:p w:rsidR="00BF7283" w:rsidRPr="00AE5CE8" w:rsidRDefault="00BF7283" w:rsidP="00045915">
            <w:pPr>
              <w:widowControl w:val="0"/>
              <w:spacing w:after="0" w:line="240" w:lineRule="auto"/>
              <w:jc w:val="center"/>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Unstandardized Residuals</w:t>
            </w:r>
          </w:p>
        </w:tc>
      </w:tr>
      <w:tr w:rsidR="00BF7283" w:rsidRPr="00AE5CE8" w:rsidTr="00AE5CE8">
        <w:trPr>
          <w:cantSplit/>
          <w:trHeight w:val="221"/>
          <w:jc w:val="center"/>
        </w:trPr>
        <w:tc>
          <w:tcPr>
            <w:tcW w:w="3999" w:type="dxa"/>
            <w:gridSpan w:val="2"/>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N</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99</w:t>
            </w:r>
          </w:p>
        </w:tc>
      </w:tr>
      <w:tr w:rsidR="00BF7283" w:rsidRPr="00AE5CE8" w:rsidTr="00AE5CE8">
        <w:trPr>
          <w:cantSplit/>
          <w:trHeight w:val="259"/>
          <w:jc w:val="center"/>
        </w:trPr>
        <w:tc>
          <w:tcPr>
            <w:tcW w:w="2475" w:type="dxa"/>
            <w:vMerge w:val="restart"/>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Normal Parameters, b</w:t>
            </w:r>
          </w:p>
        </w:tc>
        <w:tc>
          <w:tcPr>
            <w:tcW w:w="1524" w:type="dxa"/>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Means</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0E-7</w:t>
            </w:r>
          </w:p>
        </w:tc>
      </w:tr>
      <w:tr w:rsidR="00BF7283" w:rsidRPr="00AE5CE8" w:rsidTr="00AE5CE8">
        <w:trPr>
          <w:cantSplit/>
          <w:trHeight w:val="167"/>
          <w:jc w:val="center"/>
        </w:trPr>
        <w:tc>
          <w:tcPr>
            <w:tcW w:w="2475" w:type="dxa"/>
            <w:vMerge/>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p>
        </w:tc>
        <w:tc>
          <w:tcPr>
            <w:tcW w:w="1524" w:type="dxa"/>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std. Deviation</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.85542634</w:t>
            </w:r>
          </w:p>
        </w:tc>
      </w:tr>
      <w:tr w:rsidR="00BF7283" w:rsidRPr="00AE5CE8" w:rsidTr="00AE5CE8">
        <w:trPr>
          <w:cantSplit/>
          <w:trHeight w:val="259"/>
          <w:jc w:val="center"/>
        </w:trPr>
        <w:tc>
          <w:tcPr>
            <w:tcW w:w="2475" w:type="dxa"/>
            <w:vMerge w:val="restart"/>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Most Extreme Differences</w:t>
            </w:r>
          </w:p>
        </w:tc>
        <w:tc>
          <w:tcPr>
            <w:tcW w:w="1524" w:type="dxa"/>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absolute</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095</w:t>
            </w:r>
          </w:p>
        </w:tc>
      </w:tr>
      <w:tr w:rsidR="00BF7283" w:rsidRPr="00AE5CE8" w:rsidTr="00AE5CE8">
        <w:trPr>
          <w:cantSplit/>
          <w:trHeight w:val="167"/>
          <w:jc w:val="center"/>
        </w:trPr>
        <w:tc>
          <w:tcPr>
            <w:tcW w:w="2475" w:type="dxa"/>
            <w:vMerge/>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p>
        </w:tc>
        <w:tc>
          <w:tcPr>
            <w:tcW w:w="1524" w:type="dxa"/>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Positive</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.069</w:t>
            </w:r>
          </w:p>
        </w:tc>
      </w:tr>
      <w:tr w:rsidR="00BF7283" w:rsidRPr="00AE5CE8" w:rsidTr="00AE5CE8">
        <w:trPr>
          <w:cantSplit/>
          <w:trHeight w:val="167"/>
          <w:jc w:val="center"/>
        </w:trPr>
        <w:tc>
          <w:tcPr>
            <w:tcW w:w="2475" w:type="dxa"/>
            <w:vMerge/>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p>
        </w:tc>
        <w:tc>
          <w:tcPr>
            <w:tcW w:w="1524" w:type="dxa"/>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Negative</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-.095</w:t>
            </w:r>
          </w:p>
        </w:tc>
      </w:tr>
      <w:tr w:rsidR="00BF7283" w:rsidRPr="00AE5CE8" w:rsidTr="00AE5CE8">
        <w:trPr>
          <w:cantSplit/>
          <w:trHeight w:val="259"/>
          <w:jc w:val="center"/>
        </w:trPr>
        <w:tc>
          <w:tcPr>
            <w:tcW w:w="3999" w:type="dxa"/>
            <w:gridSpan w:val="2"/>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Kolmogorov-Smirnov Z</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.943</w:t>
            </w:r>
          </w:p>
        </w:tc>
      </w:tr>
      <w:tr w:rsidR="00BF7283" w:rsidRPr="00AE5CE8" w:rsidTr="00AE5CE8">
        <w:trPr>
          <w:cantSplit/>
          <w:trHeight w:val="259"/>
          <w:jc w:val="center"/>
        </w:trPr>
        <w:tc>
          <w:tcPr>
            <w:tcW w:w="3999" w:type="dxa"/>
            <w:gridSpan w:val="2"/>
            <w:shd w:val="clear" w:color="auto" w:fill="FFFFFF"/>
            <w:vAlign w:val="center"/>
          </w:tcPr>
          <w:p w:rsidR="00BF7283" w:rsidRPr="00AE5CE8" w:rsidRDefault="00BF7283" w:rsidP="00045915">
            <w:pPr>
              <w:widowControl w:val="0"/>
              <w:spacing w:after="0" w:line="240" w:lineRule="auto"/>
              <w:rPr>
                <w:rFonts w:asciiTheme="majorBidi" w:eastAsia="Arial" w:hAnsiTheme="majorBidi" w:cstheme="majorBidi"/>
                <w:color w:val="000000"/>
                <w:sz w:val="24"/>
                <w:szCs w:val="24"/>
              </w:rPr>
            </w:pPr>
            <w:proofErr w:type="spellStart"/>
            <w:r w:rsidRPr="00AE5CE8">
              <w:rPr>
                <w:rFonts w:asciiTheme="majorBidi" w:eastAsia="Arial" w:hAnsiTheme="majorBidi" w:cstheme="majorBidi"/>
                <w:color w:val="000000"/>
                <w:sz w:val="24"/>
                <w:szCs w:val="24"/>
              </w:rPr>
              <w:t>asymp</w:t>
            </w:r>
            <w:proofErr w:type="spellEnd"/>
            <w:r w:rsidRPr="00AE5CE8">
              <w:rPr>
                <w:rFonts w:asciiTheme="majorBidi" w:eastAsia="Arial" w:hAnsiTheme="majorBidi" w:cstheme="majorBidi"/>
                <w:color w:val="000000"/>
                <w:sz w:val="24"/>
                <w:szCs w:val="24"/>
              </w:rPr>
              <w:t>. Sig. (2-tailed)</w:t>
            </w:r>
          </w:p>
        </w:tc>
        <w:tc>
          <w:tcPr>
            <w:tcW w:w="1673" w:type="dxa"/>
            <w:shd w:val="clear" w:color="auto" w:fill="FFFFFF"/>
            <w:vAlign w:val="center"/>
          </w:tcPr>
          <w:p w:rsidR="00BF7283" w:rsidRPr="00AE5CE8" w:rsidRDefault="00BF7283" w:rsidP="00045915">
            <w:pPr>
              <w:widowControl w:val="0"/>
              <w:spacing w:after="0" w:line="240" w:lineRule="auto"/>
              <w:jc w:val="right"/>
              <w:rPr>
                <w:rFonts w:asciiTheme="majorBidi" w:eastAsia="Arial" w:hAnsiTheme="majorBidi" w:cstheme="majorBidi"/>
                <w:color w:val="000000"/>
                <w:sz w:val="24"/>
                <w:szCs w:val="24"/>
              </w:rPr>
            </w:pPr>
            <w:r w:rsidRPr="00AE5CE8">
              <w:rPr>
                <w:rFonts w:asciiTheme="majorBidi" w:eastAsia="Arial" w:hAnsiTheme="majorBidi" w:cstheme="majorBidi"/>
                <w:color w:val="000000"/>
                <w:sz w:val="24"/>
                <w:szCs w:val="24"/>
              </w:rPr>
              <w:t>.336</w:t>
            </w:r>
          </w:p>
        </w:tc>
      </w:tr>
    </w:tbl>
    <w:p w:rsidR="00EF62D4" w:rsidRPr="00AE5CE8" w:rsidRDefault="009A0949" w:rsidP="00AE5CE8">
      <w:pPr>
        <w:widowControl w:val="0"/>
        <w:autoSpaceDE w:val="0"/>
        <w:autoSpaceDN w:val="0"/>
        <w:adjustRightInd w:val="0"/>
        <w:spacing w:after="0"/>
        <w:jc w:val="center"/>
        <w:rPr>
          <w:rFonts w:asciiTheme="majorBidi" w:eastAsia="Arial" w:hAnsiTheme="majorBidi" w:cstheme="majorBidi"/>
          <w:iCs/>
          <w:color w:val="000000"/>
          <w:sz w:val="24"/>
          <w:szCs w:val="24"/>
        </w:rPr>
      </w:pPr>
      <w:r w:rsidRPr="00AE5CE8">
        <w:rPr>
          <w:rFonts w:asciiTheme="majorBidi" w:eastAsia="Arial" w:hAnsiTheme="majorBidi" w:cstheme="majorBidi"/>
          <w:iCs/>
          <w:color w:val="000000"/>
          <w:sz w:val="24"/>
          <w:szCs w:val="24"/>
        </w:rPr>
        <w:t>Source: Data processed in 2022</w:t>
      </w:r>
    </w:p>
    <w:p w:rsidR="007530AC" w:rsidRPr="00AE5CE8" w:rsidRDefault="00D83EF7" w:rsidP="008A16C0">
      <w:pPr>
        <w:pStyle w:val="ListParagraph1"/>
        <w:widowControl w:val="0"/>
        <w:spacing w:after="0"/>
        <w:ind w:left="0"/>
        <w:contextualSpacing w:val="0"/>
        <w:jc w:val="both"/>
        <w:rPr>
          <w:rFonts w:asciiTheme="majorBidi" w:eastAsia="Arial" w:hAnsiTheme="majorBidi" w:cstheme="majorBidi"/>
          <w:color w:val="000000"/>
          <w:sz w:val="24"/>
          <w:szCs w:val="24"/>
          <w:lang w:val="id-ID"/>
        </w:rPr>
      </w:pPr>
      <w:r w:rsidRPr="00AE5CE8">
        <w:rPr>
          <w:rFonts w:asciiTheme="majorBidi" w:eastAsia="Arial" w:hAnsiTheme="majorBidi" w:cstheme="majorBidi"/>
          <w:color w:val="000000"/>
          <w:sz w:val="24"/>
          <w:szCs w:val="24"/>
        </w:rPr>
        <w:lastRenderedPageBreak/>
        <w:t xml:space="preserve">Based on table 7 it is known that the significance value of </w:t>
      </w:r>
      <w:proofErr w:type="spellStart"/>
      <w:r w:rsidRPr="00AE5CE8">
        <w:rPr>
          <w:rFonts w:asciiTheme="majorBidi" w:eastAsia="Arial" w:hAnsiTheme="majorBidi" w:cstheme="majorBidi"/>
          <w:color w:val="000000"/>
          <w:sz w:val="24"/>
          <w:szCs w:val="24"/>
        </w:rPr>
        <w:t>Asiymp.Sig</w:t>
      </w:r>
      <w:proofErr w:type="spellEnd"/>
      <w:r w:rsidRPr="00AE5CE8">
        <w:rPr>
          <w:rFonts w:asciiTheme="majorBidi" w:eastAsia="Arial" w:hAnsiTheme="majorBidi" w:cstheme="majorBidi"/>
          <w:color w:val="000000"/>
          <w:sz w:val="24"/>
          <w:szCs w:val="24"/>
        </w:rPr>
        <w:t xml:space="preserve"> (2-tailed)</w:t>
      </w:r>
      <w:r w:rsidR="00AE5CE8" w:rsidRPr="00AE5CE8">
        <w:rPr>
          <w:rFonts w:asciiTheme="majorBidi" w:eastAsia="Arial" w:hAnsiTheme="majorBidi" w:cstheme="majorBidi"/>
          <w:color w:val="000000"/>
          <w:sz w:val="24"/>
          <w:szCs w:val="24"/>
        </w:rPr>
        <w:t xml:space="preserve"> </w:t>
      </w:r>
      <w:r w:rsidRPr="00AE5CE8">
        <w:rPr>
          <w:rFonts w:asciiTheme="majorBidi" w:hAnsiTheme="majorBidi" w:cstheme="majorBidi"/>
          <w:sz w:val="24"/>
          <w:szCs w:val="24"/>
        </w:rPr>
        <w:t>as big</w:t>
      </w:r>
      <w:r w:rsidR="0050225A" w:rsidRPr="00AE5CE8">
        <w:rPr>
          <w:rFonts w:asciiTheme="majorBidi" w:eastAsia="Arial" w:hAnsiTheme="majorBidi" w:cstheme="majorBidi"/>
          <w:color w:val="000000"/>
          <w:sz w:val="24"/>
          <w:szCs w:val="24"/>
        </w:rPr>
        <w:t>0.336 is greater than 0.05. So according to the basis of decision making, it can be concluded that the data is normally distributed. Thus, the assumptions or data normality requirements have been fulfilled.</w:t>
      </w:r>
    </w:p>
    <w:p w:rsidR="00E30D13" w:rsidRPr="00AE5CE8" w:rsidRDefault="00E30D13" w:rsidP="008A16C0">
      <w:pPr>
        <w:pStyle w:val="ListParagraph1"/>
        <w:widowControl w:val="0"/>
        <w:spacing w:before="120" w:after="0"/>
        <w:ind w:left="0"/>
        <w:contextualSpacing w:val="0"/>
        <w:jc w:val="both"/>
        <w:rPr>
          <w:rFonts w:asciiTheme="majorBidi" w:eastAsia="Arial" w:hAnsiTheme="majorBidi" w:cstheme="majorBidi"/>
          <w:b/>
          <w:bCs/>
          <w:color w:val="000000"/>
          <w:sz w:val="24"/>
          <w:szCs w:val="24"/>
        </w:rPr>
      </w:pPr>
      <w:r w:rsidRPr="00AE5CE8">
        <w:rPr>
          <w:rFonts w:asciiTheme="majorBidi" w:eastAsia="Arial" w:hAnsiTheme="majorBidi" w:cstheme="majorBidi"/>
          <w:b/>
          <w:bCs/>
          <w:color w:val="000000"/>
          <w:sz w:val="24"/>
          <w:szCs w:val="24"/>
        </w:rPr>
        <w:t>Autocorrelation test</w:t>
      </w:r>
    </w:p>
    <w:p w:rsidR="00322D7B" w:rsidRPr="00A17C87" w:rsidRDefault="00E30D13" w:rsidP="008A16C0">
      <w:pPr>
        <w:pStyle w:val="ListParagraph1"/>
        <w:widowControl w:val="0"/>
        <w:spacing w:before="120" w:after="0"/>
        <w:ind w:left="0"/>
        <w:contextualSpacing w:val="0"/>
        <w:jc w:val="both"/>
        <w:rPr>
          <w:rFonts w:asciiTheme="majorBidi" w:eastAsia="Arial" w:hAnsiTheme="majorBidi" w:cstheme="majorBidi"/>
          <w:color w:val="000000"/>
          <w:lang w:val="id-ID"/>
        </w:rPr>
      </w:pPr>
      <w:r w:rsidRPr="00AE5CE8">
        <w:rPr>
          <w:rFonts w:asciiTheme="majorBidi" w:eastAsia="Arial" w:hAnsiTheme="majorBidi" w:cstheme="majorBidi"/>
          <w:color w:val="000000"/>
          <w:sz w:val="24"/>
          <w:szCs w:val="24"/>
        </w:rPr>
        <w:t>Test</w:t>
      </w:r>
      <w:r w:rsidR="00AE5CE8" w:rsidRPr="00AE5CE8">
        <w:rPr>
          <w:rFonts w:asciiTheme="majorBidi" w:eastAsia="Arial" w:hAnsiTheme="majorBidi" w:cstheme="majorBidi"/>
          <w:color w:val="000000"/>
          <w:sz w:val="24"/>
          <w:szCs w:val="24"/>
        </w:rPr>
        <w:t xml:space="preserve"> </w:t>
      </w:r>
      <w:r w:rsidRPr="00AE5CE8">
        <w:rPr>
          <w:rFonts w:asciiTheme="majorBidi" w:hAnsiTheme="majorBidi" w:cstheme="majorBidi"/>
          <w:sz w:val="24"/>
          <w:szCs w:val="24"/>
        </w:rPr>
        <w:t>autocorrelation</w:t>
      </w:r>
      <w:r w:rsidR="00AE5CE8" w:rsidRPr="00AE5CE8">
        <w:rPr>
          <w:rFonts w:asciiTheme="majorBidi" w:hAnsiTheme="majorBidi" w:cstheme="majorBidi"/>
          <w:sz w:val="24"/>
          <w:szCs w:val="24"/>
        </w:rPr>
        <w:t xml:space="preserve"> </w:t>
      </w:r>
      <w:r w:rsidRPr="00AE5CE8">
        <w:rPr>
          <w:rFonts w:asciiTheme="majorBidi" w:eastAsia="Arial" w:hAnsiTheme="majorBidi" w:cstheme="majorBidi"/>
          <w:color w:val="000000"/>
          <w:sz w:val="24"/>
          <w:szCs w:val="24"/>
        </w:rPr>
        <w:t>aims to test whether in the linear regression model there is a correlation between the confounding errors in period t and the confounding errors in the t-1 (previous) period. Autocorrelation test can be done by means of the Durbin-Watson test (DW test). Table 4.3 shows the results of the autocorrelation test</w:t>
      </w:r>
      <w:r w:rsidRPr="008515CD">
        <w:rPr>
          <w:rFonts w:asciiTheme="majorBidi" w:eastAsia="Arial" w:hAnsiTheme="majorBidi" w:cstheme="majorBidi"/>
          <w:color w:val="000000"/>
        </w:rPr>
        <w:t>.</w:t>
      </w:r>
    </w:p>
    <w:p w:rsidR="00322D7B" w:rsidRPr="007B312D" w:rsidRDefault="00322D7B" w:rsidP="007B312D">
      <w:pPr>
        <w:pStyle w:val="ListParagraph1"/>
        <w:widowControl w:val="0"/>
        <w:spacing w:before="120" w:after="0"/>
        <w:ind w:left="0"/>
        <w:contextualSpacing w:val="0"/>
        <w:jc w:val="center"/>
        <w:rPr>
          <w:rFonts w:asciiTheme="majorBidi" w:eastAsia="Arial" w:hAnsiTheme="majorBidi" w:cstheme="majorBidi"/>
          <w:bCs/>
          <w:color w:val="000000"/>
          <w:sz w:val="24"/>
          <w:szCs w:val="24"/>
          <w:lang w:val="id-ID"/>
        </w:rPr>
      </w:pPr>
      <w:r w:rsidRPr="007B312D">
        <w:rPr>
          <w:rFonts w:asciiTheme="majorBidi" w:eastAsia="Arial" w:hAnsiTheme="majorBidi" w:cstheme="majorBidi"/>
          <w:b/>
          <w:bCs/>
          <w:color w:val="000000"/>
          <w:sz w:val="24"/>
          <w:szCs w:val="24"/>
        </w:rPr>
        <w:t>Table 8</w:t>
      </w:r>
      <w:r w:rsidR="00AE5CE8" w:rsidRPr="007B312D">
        <w:rPr>
          <w:rFonts w:asciiTheme="majorBidi" w:eastAsia="Arial" w:hAnsiTheme="majorBidi" w:cstheme="majorBidi"/>
          <w:b/>
          <w:bCs/>
          <w:color w:val="000000"/>
          <w:sz w:val="24"/>
          <w:szCs w:val="24"/>
        </w:rPr>
        <w:t xml:space="preserve">. </w:t>
      </w:r>
      <w:r w:rsidRPr="007B312D">
        <w:rPr>
          <w:rFonts w:asciiTheme="majorBidi" w:eastAsia="Arial" w:hAnsiTheme="majorBidi" w:cstheme="majorBidi"/>
          <w:bCs/>
          <w:color w:val="000000"/>
          <w:sz w:val="24"/>
          <w:szCs w:val="24"/>
        </w:rPr>
        <w:t>Autocorrelation Test</w:t>
      </w:r>
    </w:p>
    <w:p w:rsidR="00322D7B" w:rsidRPr="007B312D" w:rsidRDefault="00322D7B" w:rsidP="007B312D">
      <w:pPr>
        <w:pStyle w:val="ListParagraph1"/>
        <w:widowControl w:val="0"/>
        <w:spacing w:after="0"/>
        <w:ind w:left="0"/>
        <w:contextualSpacing w:val="0"/>
        <w:jc w:val="center"/>
        <w:rPr>
          <w:rFonts w:asciiTheme="majorBidi" w:eastAsia="Arial" w:hAnsiTheme="majorBidi" w:cstheme="majorBidi"/>
          <w:bCs/>
          <w:color w:val="000000"/>
          <w:sz w:val="24"/>
          <w:szCs w:val="24"/>
          <w:vertAlign w:val="superscript"/>
        </w:rPr>
      </w:pPr>
      <w:r w:rsidRPr="007B312D">
        <w:rPr>
          <w:rFonts w:asciiTheme="majorBidi" w:eastAsia="Arial" w:hAnsiTheme="majorBidi" w:cstheme="majorBidi"/>
          <w:bCs/>
          <w:color w:val="000000"/>
          <w:sz w:val="24"/>
          <w:szCs w:val="24"/>
        </w:rPr>
        <w:t>Summary model b</w:t>
      </w:r>
    </w:p>
    <w:tbl>
      <w:tblPr>
        <w:tblW w:w="7389"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992"/>
        <w:gridCol w:w="1287"/>
        <w:gridCol w:w="1365"/>
        <w:gridCol w:w="1872"/>
        <w:gridCol w:w="1873"/>
      </w:tblGrid>
      <w:tr w:rsidR="00322D7B" w:rsidRPr="007B312D" w:rsidTr="007B312D">
        <w:trPr>
          <w:cantSplit/>
          <w:trHeight w:val="548"/>
          <w:jc w:val="center"/>
        </w:trPr>
        <w:tc>
          <w:tcPr>
            <w:tcW w:w="992" w:type="dxa"/>
            <w:shd w:val="clear" w:color="auto" w:fill="FFFFFF"/>
          </w:tcPr>
          <w:p w:rsidR="00322D7B" w:rsidRPr="007B312D" w:rsidRDefault="00322D7B" w:rsidP="007B312D">
            <w:pPr>
              <w:spacing w:after="0" w:line="240" w:lineRule="auto"/>
              <w:ind w:left="62" w:right="62"/>
              <w:rPr>
                <w:rFonts w:asciiTheme="majorBidi" w:hAnsiTheme="majorBidi" w:cstheme="majorBidi"/>
                <w:sz w:val="24"/>
                <w:szCs w:val="24"/>
              </w:rPr>
            </w:pPr>
            <w:r w:rsidRPr="007B312D">
              <w:rPr>
                <w:rFonts w:asciiTheme="majorBidi" w:hAnsiTheme="majorBidi" w:cstheme="majorBidi"/>
                <w:sz w:val="24"/>
                <w:szCs w:val="24"/>
              </w:rPr>
              <w:t>Model</w:t>
            </w:r>
          </w:p>
        </w:tc>
        <w:tc>
          <w:tcPr>
            <w:tcW w:w="1287" w:type="dxa"/>
            <w:shd w:val="clear" w:color="auto" w:fill="FFFFFF"/>
          </w:tcPr>
          <w:p w:rsidR="00322D7B" w:rsidRPr="007B312D" w:rsidRDefault="00322D7B" w:rsidP="007B312D">
            <w:pPr>
              <w:spacing w:after="0" w:line="240" w:lineRule="auto"/>
              <w:ind w:left="62" w:right="62"/>
              <w:jc w:val="center"/>
              <w:rPr>
                <w:rFonts w:asciiTheme="majorBidi" w:hAnsiTheme="majorBidi" w:cstheme="majorBidi"/>
                <w:sz w:val="24"/>
                <w:szCs w:val="24"/>
              </w:rPr>
            </w:pPr>
            <w:r w:rsidRPr="007B312D">
              <w:rPr>
                <w:rFonts w:asciiTheme="majorBidi" w:hAnsiTheme="majorBidi" w:cstheme="majorBidi"/>
                <w:sz w:val="24"/>
                <w:szCs w:val="24"/>
              </w:rPr>
              <w:t>R</w:t>
            </w:r>
          </w:p>
        </w:tc>
        <w:tc>
          <w:tcPr>
            <w:tcW w:w="1365" w:type="dxa"/>
            <w:shd w:val="clear" w:color="auto" w:fill="FFFFFF"/>
          </w:tcPr>
          <w:p w:rsidR="00322D7B" w:rsidRPr="007B312D" w:rsidRDefault="00322D7B" w:rsidP="007B312D">
            <w:pPr>
              <w:spacing w:after="0" w:line="240" w:lineRule="auto"/>
              <w:ind w:left="62" w:right="62"/>
              <w:jc w:val="center"/>
              <w:rPr>
                <w:rFonts w:asciiTheme="majorBidi" w:hAnsiTheme="majorBidi" w:cstheme="majorBidi"/>
                <w:sz w:val="24"/>
                <w:szCs w:val="24"/>
              </w:rPr>
            </w:pPr>
            <w:r w:rsidRPr="007B312D">
              <w:rPr>
                <w:rFonts w:asciiTheme="majorBidi" w:hAnsiTheme="majorBidi" w:cstheme="majorBidi"/>
                <w:sz w:val="24"/>
                <w:szCs w:val="24"/>
              </w:rPr>
              <w:t>R Square</w:t>
            </w:r>
          </w:p>
        </w:tc>
        <w:tc>
          <w:tcPr>
            <w:tcW w:w="1872" w:type="dxa"/>
            <w:shd w:val="clear" w:color="auto" w:fill="FFFFFF"/>
          </w:tcPr>
          <w:p w:rsidR="00322D7B" w:rsidRPr="007B312D" w:rsidRDefault="00322D7B" w:rsidP="007B312D">
            <w:pPr>
              <w:spacing w:after="0" w:line="240" w:lineRule="auto"/>
              <w:ind w:left="62" w:right="62"/>
              <w:jc w:val="center"/>
              <w:rPr>
                <w:rFonts w:asciiTheme="majorBidi" w:hAnsiTheme="majorBidi" w:cstheme="majorBidi"/>
                <w:sz w:val="24"/>
                <w:szCs w:val="24"/>
              </w:rPr>
            </w:pPr>
            <w:r w:rsidRPr="007B312D">
              <w:rPr>
                <w:rFonts w:asciiTheme="majorBidi" w:hAnsiTheme="majorBidi" w:cstheme="majorBidi"/>
                <w:sz w:val="24"/>
                <w:szCs w:val="24"/>
              </w:rPr>
              <w:t>Adjusted R Square</w:t>
            </w:r>
          </w:p>
        </w:tc>
        <w:tc>
          <w:tcPr>
            <w:tcW w:w="1873" w:type="dxa"/>
            <w:shd w:val="clear" w:color="auto" w:fill="FFFFFF"/>
          </w:tcPr>
          <w:p w:rsidR="00322D7B" w:rsidRPr="007B312D" w:rsidRDefault="00322D7B" w:rsidP="007B312D">
            <w:pPr>
              <w:spacing w:after="0" w:line="240" w:lineRule="auto"/>
              <w:ind w:left="62" w:right="62"/>
              <w:jc w:val="center"/>
              <w:rPr>
                <w:rFonts w:asciiTheme="majorBidi" w:hAnsiTheme="majorBidi" w:cstheme="majorBidi"/>
                <w:sz w:val="24"/>
                <w:szCs w:val="24"/>
              </w:rPr>
            </w:pPr>
            <w:r w:rsidRPr="007B312D">
              <w:rPr>
                <w:rFonts w:asciiTheme="majorBidi" w:hAnsiTheme="majorBidi" w:cstheme="majorBidi"/>
                <w:sz w:val="24"/>
                <w:szCs w:val="24"/>
              </w:rPr>
              <w:t>std. Error of the Estimate</w:t>
            </w:r>
          </w:p>
        </w:tc>
      </w:tr>
      <w:tr w:rsidR="00322D7B" w:rsidRPr="007B312D" w:rsidTr="007B312D">
        <w:trPr>
          <w:cantSplit/>
          <w:trHeight w:val="272"/>
          <w:jc w:val="center"/>
        </w:trPr>
        <w:tc>
          <w:tcPr>
            <w:tcW w:w="992" w:type="dxa"/>
            <w:shd w:val="clear" w:color="auto" w:fill="FFFFFF"/>
            <w:vAlign w:val="center"/>
          </w:tcPr>
          <w:p w:rsidR="00322D7B" w:rsidRPr="007B312D" w:rsidRDefault="00322D7B" w:rsidP="007B312D">
            <w:pPr>
              <w:spacing w:after="0" w:line="240" w:lineRule="auto"/>
              <w:ind w:left="62" w:right="62"/>
              <w:rPr>
                <w:rFonts w:asciiTheme="majorBidi" w:hAnsiTheme="majorBidi" w:cstheme="majorBidi"/>
                <w:sz w:val="24"/>
                <w:szCs w:val="24"/>
              </w:rPr>
            </w:pPr>
            <w:r w:rsidRPr="007B312D">
              <w:rPr>
                <w:rFonts w:asciiTheme="majorBidi" w:hAnsiTheme="majorBidi" w:cstheme="majorBidi"/>
                <w:sz w:val="24"/>
                <w:szCs w:val="24"/>
              </w:rPr>
              <w:t>1</w:t>
            </w:r>
          </w:p>
        </w:tc>
        <w:tc>
          <w:tcPr>
            <w:tcW w:w="1287" w:type="dxa"/>
            <w:shd w:val="clear" w:color="auto" w:fill="FFFFFF"/>
            <w:vAlign w:val="center"/>
          </w:tcPr>
          <w:p w:rsidR="00322D7B" w:rsidRPr="007B312D" w:rsidRDefault="00322D7B" w:rsidP="007B312D">
            <w:pPr>
              <w:spacing w:after="0" w:line="240" w:lineRule="auto"/>
              <w:ind w:left="62" w:right="62"/>
              <w:jc w:val="right"/>
              <w:rPr>
                <w:rFonts w:asciiTheme="majorBidi" w:hAnsiTheme="majorBidi" w:cstheme="majorBidi"/>
                <w:sz w:val="24"/>
                <w:szCs w:val="24"/>
              </w:rPr>
            </w:pPr>
            <w:r w:rsidRPr="007B312D">
              <w:rPr>
                <w:rFonts w:asciiTheme="majorBidi" w:hAnsiTheme="majorBidi" w:cstheme="majorBidi"/>
                <w:sz w:val="24"/>
                <w:szCs w:val="24"/>
              </w:rPr>
              <w:t>.132a</w:t>
            </w:r>
          </w:p>
        </w:tc>
        <w:tc>
          <w:tcPr>
            <w:tcW w:w="1365" w:type="dxa"/>
            <w:shd w:val="clear" w:color="auto" w:fill="FFFFFF"/>
            <w:vAlign w:val="center"/>
          </w:tcPr>
          <w:p w:rsidR="00322D7B" w:rsidRPr="007B312D" w:rsidRDefault="00322D7B" w:rsidP="007B312D">
            <w:pPr>
              <w:spacing w:after="0" w:line="240" w:lineRule="auto"/>
              <w:ind w:left="62" w:right="62"/>
              <w:jc w:val="right"/>
              <w:rPr>
                <w:rFonts w:asciiTheme="majorBidi" w:hAnsiTheme="majorBidi" w:cstheme="majorBidi"/>
                <w:sz w:val="24"/>
                <w:szCs w:val="24"/>
              </w:rPr>
            </w:pPr>
            <w:r w:rsidRPr="007B312D">
              <w:rPr>
                <w:rFonts w:asciiTheme="majorBidi" w:hAnsiTheme="majorBidi" w:cstheme="majorBidi"/>
                <w:sz w:val="24"/>
                <w:szCs w:val="24"/>
              </w:rPr>
              <w:t>.018</w:t>
            </w:r>
          </w:p>
        </w:tc>
        <w:tc>
          <w:tcPr>
            <w:tcW w:w="1872" w:type="dxa"/>
            <w:shd w:val="clear" w:color="auto" w:fill="FFFFFF"/>
            <w:vAlign w:val="center"/>
          </w:tcPr>
          <w:p w:rsidR="00322D7B" w:rsidRPr="007B312D" w:rsidRDefault="00322D7B" w:rsidP="007B312D">
            <w:pPr>
              <w:spacing w:after="0" w:line="240" w:lineRule="auto"/>
              <w:ind w:left="62" w:right="62"/>
              <w:jc w:val="right"/>
              <w:rPr>
                <w:rFonts w:asciiTheme="majorBidi" w:hAnsiTheme="majorBidi" w:cstheme="majorBidi"/>
                <w:sz w:val="24"/>
                <w:szCs w:val="24"/>
              </w:rPr>
            </w:pPr>
            <w:r w:rsidRPr="007B312D">
              <w:rPr>
                <w:rFonts w:asciiTheme="majorBidi" w:hAnsiTheme="majorBidi" w:cstheme="majorBidi"/>
                <w:sz w:val="24"/>
                <w:szCs w:val="24"/>
              </w:rPr>
              <w:t>007</w:t>
            </w:r>
          </w:p>
        </w:tc>
        <w:tc>
          <w:tcPr>
            <w:tcW w:w="1873" w:type="dxa"/>
            <w:shd w:val="clear" w:color="auto" w:fill="FFFFFF"/>
            <w:vAlign w:val="center"/>
          </w:tcPr>
          <w:p w:rsidR="00322D7B" w:rsidRPr="007B312D" w:rsidRDefault="00322D7B" w:rsidP="007B312D">
            <w:pPr>
              <w:spacing w:after="0" w:line="240" w:lineRule="auto"/>
              <w:ind w:left="62" w:right="62"/>
              <w:jc w:val="right"/>
              <w:rPr>
                <w:rFonts w:asciiTheme="majorBidi" w:hAnsiTheme="majorBidi" w:cstheme="majorBidi"/>
                <w:sz w:val="24"/>
                <w:szCs w:val="24"/>
              </w:rPr>
            </w:pPr>
            <w:r w:rsidRPr="007B312D">
              <w:rPr>
                <w:rFonts w:asciiTheme="majorBidi" w:hAnsiTheme="majorBidi" w:cstheme="majorBidi"/>
                <w:sz w:val="24"/>
                <w:szCs w:val="24"/>
              </w:rPr>
              <w:t>.85982</w:t>
            </w:r>
          </w:p>
        </w:tc>
      </w:tr>
    </w:tbl>
    <w:p w:rsidR="00322D7B" w:rsidRPr="007B312D" w:rsidRDefault="00322D7B" w:rsidP="009A0949">
      <w:pPr>
        <w:pStyle w:val="ListParagraph1"/>
        <w:widowControl w:val="0"/>
        <w:spacing w:after="0"/>
        <w:ind w:left="851"/>
        <w:contextualSpacing w:val="0"/>
        <w:rPr>
          <w:rFonts w:asciiTheme="majorBidi" w:eastAsia="Arial" w:hAnsiTheme="majorBidi" w:cstheme="majorBidi"/>
          <w:color w:val="000000"/>
          <w:sz w:val="24"/>
          <w:szCs w:val="24"/>
        </w:rPr>
      </w:pPr>
      <w:r w:rsidRPr="007B312D">
        <w:rPr>
          <w:rFonts w:asciiTheme="majorBidi" w:eastAsia="Arial" w:hAnsiTheme="majorBidi" w:cstheme="majorBidi"/>
          <w:color w:val="000000"/>
          <w:sz w:val="24"/>
          <w:szCs w:val="24"/>
        </w:rPr>
        <w:t xml:space="preserve">a. Predictors: (Constant), </w:t>
      </w:r>
      <w:proofErr w:type="spellStart"/>
      <w:r w:rsidRPr="007B312D">
        <w:rPr>
          <w:rFonts w:asciiTheme="majorBidi" w:eastAsia="Arial" w:hAnsiTheme="majorBidi" w:cstheme="majorBidi"/>
          <w:color w:val="000000"/>
          <w:sz w:val="24"/>
          <w:szCs w:val="24"/>
        </w:rPr>
        <w:t>Ln_Tax</w:t>
      </w:r>
      <w:proofErr w:type="spellEnd"/>
      <w:r w:rsidRPr="007B312D">
        <w:rPr>
          <w:rFonts w:asciiTheme="majorBidi" w:eastAsia="Arial" w:hAnsiTheme="majorBidi" w:cstheme="majorBidi"/>
          <w:color w:val="000000"/>
          <w:sz w:val="24"/>
          <w:szCs w:val="24"/>
        </w:rPr>
        <w:t xml:space="preserve"> Avoidance</w:t>
      </w:r>
    </w:p>
    <w:p w:rsidR="008B017A" w:rsidRPr="00045915" w:rsidRDefault="00322D7B" w:rsidP="00045915">
      <w:pPr>
        <w:pStyle w:val="ListParagraph1"/>
        <w:widowControl w:val="0"/>
        <w:spacing w:after="0"/>
        <w:ind w:left="851"/>
        <w:contextualSpacing w:val="0"/>
        <w:rPr>
          <w:rFonts w:asciiTheme="majorBidi" w:eastAsia="Arial" w:hAnsiTheme="majorBidi" w:cstheme="majorBidi"/>
          <w:color w:val="000000"/>
          <w:sz w:val="24"/>
          <w:szCs w:val="24"/>
        </w:rPr>
      </w:pPr>
      <w:r w:rsidRPr="007B312D">
        <w:rPr>
          <w:rFonts w:asciiTheme="majorBidi" w:eastAsia="Arial" w:hAnsiTheme="majorBidi" w:cstheme="majorBidi"/>
          <w:color w:val="000000"/>
          <w:sz w:val="24"/>
          <w:szCs w:val="24"/>
        </w:rPr>
        <w:t>b.</w:t>
      </w:r>
      <w:r w:rsidR="007B312D">
        <w:rPr>
          <w:rFonts w:asciiTheme="majorBidi" w:eastAsia="Arial" w:hAnsiTheme="majorBidi" w:cstheme="majorBidi"/>
          <w:color w:val="000000"/>
          <w:sz w:val="24"/>
          <w:szCs w:val="24"/>
        </w:rPr>
        <w:t xml:space="preserve"> </w:t>
      </w:r>
      <w:r w:rsidRPr="007B312D">
        <w:rPr>
          <w:rFonts w:asciiTheme="majorBidi" w:eastAsia="Arial" w:hAnsiTheme="majorBidi" w:cstheme="majorBidi"/>
          <w:color w:val="000000"/>
          <w:sz w:val="24"/>
          <w:szCs w:val="24"/>
        </w:rPr>
        <w:t xml:space="preserve">Dependent Variable: </w:t>
      </w:r>
      <w:proofErr w:type="spellStart"/>
      <w:r w:rsidRPr="007B312D">
        <w:rPr>
          <w:rFonts w:asciiTheme="majorBidi" w:eastAsia="Arial" w:hAnsiTheme="majorBidi" w:cstheme="majorBidi"/>
          <w:color w:val="000000"/>
          <w:sz w:val="24"/>
          <w:szCs w:val="24"/>
        </w:rPr>
        <w:t>Ln_External</w:t>
      </w:r>
      <w:proofErr w:type="spellEnd"/>
      <w:r w:rsidRPr="007B312D">
        <w:rPr>
          <w:rFonts w:asciiTheme="majorBidi" w:eastAsia="Arial" w:hAnsiTheme="majorBidi" w:cstheme="majorBidi"/>
          <w:color w:val="000000"/>
          <w:sz w:val="24"/>
          <w:szCs w:val="24"/>
        </w:rPr>
        <w:t xml:space="preserve"> Funding</w:t>
      </w:r>
    </w:p>
    <w:p w:rsidR="00EF62D4" w:rsidRPr="008B017A" w:rsidRDefault="00D83EF7" w:rsidP="008B017A">
      <w:pPr>
        <w:pStyle w:val="ListParagraph1"/>
        <w:widowControl w:val="0"/>
        <w:spacing w:before="120" w:after="0"/>
        <w:ind w:left="0"/>
        <w:contextualSpacing w:val="0"/>
        <w:jc w:val="both"/>
        <w:rPr>
          <w:rFonts w:asciiTheme="majorBidi" w:hAnsiTheme="majorBidi" w:cstheme="majorBidi"/>
          <w:b/>
          <w:sz w:val="24"/>
          <w:szCs w:val="24"/>
        </w:rPr>
      </w:pPr>
      <w:r w:rsidRPr="008B017A">
        <w:rPr>
          <w:rFonts w:asciiTheme="majorBidi" w:hAnsiTheme="majorBidi" w:cstheme="majorBidi"/>
          <w:b/>
          <w:sz w:val="24"/>
          <w:szCs w:val="24"/>
        </w:rPr>
        <w:t>Hypothesis Test</w:t>
      </w:r>
    </w:p>
    <w:p w:rsidR="00EF62D4" w:rsidRPr="008A16C0" w:rsidRDefault="00D83EF7" w:rsidP="008A16C0">
      <w:pPr>
        <w:widowControl w:val="0"/>
        <w:autoSpaceDE w:val="0"/>
        <w:autoSpaceDN w:val="0"/>
        <w:adjustRightInd w:val="0"/>
        <w:spacing w:before="120" w:after="0"/>
        <w:rPr>
          <w:rFonts w:asciiTheme="majorBidi" w:hAnsiTheme="majorBidi" w:cstheme="majorBidi"/>
          <w:b/>
          <w:sz w:val="24"/>
          <w:szCs w:val="24"/>
        </w:rPr>
      </w:pPr>
      <w:r w:rsidRPr="008A16C0">
        <w:rPr>
          <w:rFonts w:asciiTheme="majorBidi" w:hAnsiTheme="majorBidi" w:cstheme="majorBidi"/>
          <w:b/>
          <w:sz w:val="24"/>
          <w:szCs w:val="24"/>
        </w:rPr>
        <w:t>Simple Linear Regression Test</w:t>
      </w:r>
    </w:p>
    <w:p w:rsidR="001D13AD" w:rsidRPr="008B017A" w:rsidRDefault="00D83EF7" w:rsidP="008A16C0">
      <w:pPr>
        <w:widowControl w:val="0"/>
        <w:autoSpaceDE w:val="0"/>
        <w:autoSpaceDN w:val="0"/>
        <w:adjustRightInd w:val="0"/>
        <w:spacing w:before="120" w:after="0"/>
        <w:jc w:val="both"/>
        <w:rPr>
          <w:rFonts w:asciiTheme="majorBidi" w:hAnsiTheme="majorBidi" w:cstheme="majorBidi"/>
          <w:color w:val="000000"/>
          <w:sz w:val="24"/>
          <w:szCs w:val="24"/>
          <w:lang w:val="id-ID"/>
        </w:rPr>
      </w:pPr>
      <w:r w:rsidRPr="008B017A">
        <w:rPr>
          <w:rFonts w:asciiTheme="majorBidi" w:hAnsiTheme="majorBidi" w:cstheme="majorBidi"/>
          <w:color w:val="000000"/>
          <w:sz w:val="24"/>
          <w:szCs w:val="24"/>
        </w:rPr>
        <w:t>Simple regression analysis is a regression where the independent variable has the highest rank of one. The goal is to predict the value of one variable in relation to another variable through the equation of the regression line. Simple linear regression is linear regression which only involves two variables. The following is a simple linear regression table that has been tested using SPSS</w:t>
      </w:r>
      <w:r w:rsidR="008B017A">
        <w:rPr>
          <w:rFonts w:asciiTheme="majorBidi" w:hAnsiTheme="majorBidi" w:cstheme="majorBidi"/>
          <w:color w:val="000000"/>
          <w:sz w:val="24"/>
          <w:szCs w:val="24"/>
        </w:rPr>
        <w:t>.</w:t>
      </w:r>
    </w:p>
    <w:p w:rsidR="008B017A" w:rsidRPr="008B017A" w:rsidRDefault="006C2B4E" w:rsidP="008B017A">
      <w:pPr>
        <w:pStyle w:val="ListParagraph1"/>
        <w:widowControl w:val="0"/>
        <w:autoSpaceDE w:val="0"/>
        <w:autoSpaceDN w:val="0"/>
        <w:adjustRightInd w:val="0"/>
        <w:spacing w:after="0" w:line="240" w:lineRule="auto"/>
        <w:ind w:left="0"/>
        <w:contextualSpacing w:val="0"/>
        <w:jc w:val="center"/>
        <w:rPr>
          <w:rFonts w:asciiTheme="majorBidi" w:hAnsiTheme="majorBidi" w:cstheme="majorBidi"/>
          <w:sz w:val="24"/>
          <w:szCs w:val="24"/>
        </w:rPr>
      </w:pPr>
      <w:r w:rsidRPr="008B017A">
        <w:rPr>
          <w:rFonts w:asciiTheme="majorBidi" w:hAnsiTheme="majorBidi" w:cstheme="majorBidi"/>
          <w:b/>
          <w:sz w:val="24"/>
          <w:szCs w:val="24"/>
        </w:rPr>
        <w:t>Table 9</w:t>
      </w:r>
      <w:r w:rsidR="008B017A" w:rsidRPr="008B017A">
        <w:rPr>
          <w:rFonts w:asciiTheme="majorBidi" w:hAnsiTheme="majorBidi" w:cstheme="majorBidi"/>
          <w:b/>
          <w:sz w:val="24"/>
          <w:szCs w:val="24"/>
        </w:rPr>
        <w:t xml:space="preserve">. </w:t>
      </w:r>
      <w:r w:rsidR="00D83EF7" w:rsidRPr="008B017A">
        <w:rPr>
          <w:rFonts w:asciiTheme="majorBidi" w:hAnsiTheme="majorBidi" w:cstheme="majorBidi"/>
          <w:sz w:val="24"/>
          <w:szCs w:val="24"/>
        </w:rPr>
        <w:t>Simple Linear Regression Test</w:t>
      </w:r>
    </w:p>
    <w:p w:rsidR="00EF62D4" w:rsidRPr="008B017A" w:rsidRDefault="00D83EF7" w:rsidP="008B017A">
      <w:pPr>
        <w:pStyle w:val="ListParagraph1"/>
        <w:widowControl w:val="0"/>
        <w:autoSpaceDE w:val="0"/>
        <w:autoSpaceDN w:val="0"/>
        <w:adjustRightInd w:val="0"/>
        <w:spacing w:after="0" w:line="240" w:lineRule="auto"/>
        <w:ind w:left="0"/>
        <w:contextualSpacing w:val="0"/>
        <w:jc w:val="center"/>
        <w:rPr>
          <w:rFonts w:asciiTheme="majorBidi" w:hAnsiTheme="majorBidi" w:cstheme="majorBidi"/>
          <w:sz w:val="24"/>
          <w:szCs w:val="24"/>
          <w:lang w:val="id-ID"/>
        </w:rPr>
      </w:pPr>
      <w:proofErr w:type="spellStart"/>
      <w:r w:rsidRPr="008B017A">
        <w:rPr>
          <w:rFonts w:asciiTheme="majorBidi" w:hAnsiTheme="majorBidi" w:cstheme="majorBidi"/>
          <w:sz w:val="24"/>
          <w:szCs w:val="24"/>
        </w:rPr>
        <w:t>Coefficientsa</w:t>
      </w:r>
      <w:proofErr w:type="spellEnd"/>
    </w:p>
    <w:tbl>
      <w:tblPr>
        <w:tblpPr w:leftFromText="180" w:rightFromText="180" w:vertAnchor="text" w:horzAnchor="margin" w:tblpXSpec="center" w:tblpY="136"/>
        <w:tblW w:w="8596"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687"/>
        <w:gridCol w:w="2160"/>
        <w:gridCol w:w="1244"/>
        <w:gridCol w:w="1244"/>
        <w:gridCol w:w="1373"/>
        <w:gridCol w:w="943"/>
        <w:gridCol w:w="945"/>
      </w:tblGrid>
      <w:tr w:rsidR="0040282B" w:rsidRPr="008B017A" w:rsidTr="008B017A">
        <w:trPr>
          <w:cantSplit/>
          <w:trHeight w:val="617"/>
        </w:trPr>
        <w:tc>
          <w:tcPr>
            <w:tcW w:w="2847" w:type="dxa"/>
            <w:gridSpan w:val="2"/>
            <w:vMerge w:val="restart"/>
            <w:shd w:val="clear" w:color="auto" w:fill="FFFFFF"/>
          </w:tcPr>
          <w:p w:rsidR="0040282B" w:rsidRPr="008B017A" w:rsidRDefault="0040282B" w:rsidP="008B017A">
            <w:pPr>
              <w:widowControl w:val="0"/>
              <w:autoSpaceDE w:val="0"/>
              <w:autoSpaceDN w:val="0"/>
              <w:adjustRightInd w:val="0"/>
              <w:spacing w:after="0" w:line="240" w:lineRule="auto"/>
              <w:jc w:val="both"/>
              <w:rPr>
                <w:rFonts w:asciiTheme="majorBidi" w:hAnsiTheme="majorBidi" w:cstheme="majorBidi"/>
                <w:sz w:val="24"/>
                <w:szCs w:val="24"/>
              </w:rPr>
            </w:pPr>
            <w:r w:rsidRPr="008B017A">
              <w:rPr>
                <w:rFonts w:asciiTheme="majorBidi" w:hAnsiTheme="majorBidi" w:cstheme="majorBidi"/>
                <w:sz w:val="24"/>
                <w:szCs w:val="24"/>
              </w:rPr>
              <w:t>Model</w:t>
            </w:r>
          </w:p>
        </w:tc>
        <w:tc>
          <w:tcPr>
            <w:tcW w:w="2488" w:type="dxa"/>
            <w:gridSpan w:val="2"/>
            <w:shd w:val="clear" w:color="auto" w:fill="FFFFFF"/>
          </w:tcPr>
          <w:p w:rsidR="0040282B" w:rsidRPr="008B017A" w:rsidRDefault="0040282B" w:rsidP="008B017A">
            <w:pPr>
              <w:widowControl w:val="0"/>
              <w:autoSpaceDE w:val="0"/>
              <w:autoSpaceDN w:val="0"/>
              <w:adjustRightInd w:val="0"/>
              <w:spacing w:after="0" w:line="240" w:lineRule="auto"/>
              <w:jc w:val="both"/>
              <w:rPr>
                <w:rFonts w:asciiTheme="majorBidi" w:hAnsiTheme="majorBidi" w:cstheme="majorBidi"/>
                <w:sz w:val="24"/>
                <w:szCs w:val="24"/>
              </w:rPr>
            </w:pPr>
            <w:r w:rsidRPr="008B017A">
              <w:rPr>
                <w:rFonts w:asciiTheme="majorBidi" w:hAnsiTheme="majorBidi" w:cstheme="majorBidi"/>
                <w:sz w:val="24"/>
                <w:szCs w:val="24"/>
              </w:rPr>
              <w:t>Unstandardized Coefficients</w:t>
            </w:r>
          </w:p>
        </w:tc>
        <w:tc>
          <w:tcPr>
            <w:tcW w:w="1373" w:type="dxa"/>
            <w:shd w:val="clear" w:color="auto" w:fill="FFFFFF"/>
          </w:tcPr>
          <w:p w:rsidR="0040282B" w:rsidRPr="008B017A" w:rsidRDefault="0040282B" w:rsidP="008B017A">
            <w:pPr>
              <w:widowControl w:val="0"/>
              <w:autoSpaceDE w:val="0"/>
              <w:autoSpaceDN w:val="0"/>
              <w:adjustRightInd w:val="0"/>
              <w:spacing w:after="0" w:line="240" w:lineRule="auto"/>
              <w:jc w:val="both"/>
              <w:rPr>
                <w:rFonts w:asciiTheme="majorBidi" w:hAnsiTheme="majorBidi" w:cstheme="majorBidi"/>
                <w:sz w:val="24"/>
                <w:szCs w:val="24"/>
              </w:rPr>
            </w:pPr>
            <w:r w:rsidRPr="008B017A">
              <w:rPr>
                <w:rFonts w:asciiTheme="majorBidi" w:hAnsiTheme="majorBidi" w:cstheme="majorBidi"/>
                <w:sz w:val="24"/>
                <w:szCs w:val="24"/>
              </w:rPr>
              <w:t>Standardized Coefficients</w:t>
            </w:r>
          </w:p>
        </w:tc>
        <w:tc>
          <w:tcPr>
            <w:tcW w:w="943" w:type="dxa"/>
            <w:vMerge w:val="restart"/>
            <w:shd w:val="clear" w:color="auto" w:fill="FFFFFF"/>
          </w:tcPr>
          <w:p w:rsidR="0040282B" w:rsidRPr="008B017A" w:rsidRDefault="0040282B" w:rsidP="008B017A">
            <w:pPr>
              <w:widowControl w:val="0"/>
              <w:autoSpaceDE w:val="0"/>
              <w:autoSpaceDN w:val="0"/>
              <w:adjustRightInd w:val="0"/>
              <w:spacing w:after="0" w:line="240" w:lineRule="auto"/>
              <w:jc w:val="center"/>
              <w:rPr>
                <w:rFonts w:asciiTheme="majorBidi" w:hAnsiTheme="majorBidi" w:cstheme="majorBidi"/>
                <w:sz w:val="24"/>
                <w:szCs w:val="24"/>
              </w:rPr>
            </w:pPr>
            <w:r w:rsidRPr="008B017A">
              <w:rPr>
                <w:rFonts w:asciiTheme="majorBidi" w:hAnsiTheme="majorBidi" w:cstheme="majorBidi"/>
                <w:sz w:val="24"/>
                <w:szCs w:val="24"/>
              </w:rPr>
              <w:t>t</w:t>
            </w:r>
          </w:p>
        </w:tc>
        <w:tc>
          <w:tcPr>
            <w:tcW w:w="945" w:type="dxa"/>
            <w:vMerge w:val="restart"/>
            <w:shd w:val="clear" w:color="auto" w:fill="FFFFFF"/>
          </w:tcPr>
          <w:p w:rsidR="0040282B" w:rsidRPr="008B017A" w:rsidRDefault="0040282B" w:rsidP="008B017A">
            <w:pPr>
              <w:widowControl w:val="0"/>
              <w:autoSpaceDE w:val="0"/>
              <w:autoSpaceDN w:val="0"/>
              <w:adjustRightInd w:val="0"/>
              <w:spacing w:after="0" w:line="240" w:lineRule="auto"/>
              <w:jc w:val="both"/>
              <w:rPr>
                <w:rFonts w:asciiTheme="majorBidi" w:hAnsiTheme="majorBidi" w:cstheme="majorBidi"/>
                <w:sz w:val="24"/>
                <w:szCs w:val="24"/>
              </w:rPr>
            </w:pPr>
            <w:r w:rsidRPr="008B017A">
              <w:rPr>
                <w:rFonts w:asciiTheme="majorBidi" w:hAnsiTheme="majorBidi" w:cstheme="majorBidi"/>
                <w:sz w:val="24"/>
                <w:szCs w:val="24"/>
              </w:rPr>
              <w:t>Sig.</w:t>
            </w:r>
          </w:p>
        </w:tc>
      </w:tr>
      <w:tr w:rsidR="0040282B" w:rsidRPr="008B017A" w:rsidTr="008B017A">
        <w:trPr>
          <w:cantSplit/>
          <w:trHeight w:val="177"/>
        </w:trPr>
        <w:tc>
          <w:tcPr>
            <w:tcW w:w="2847" w:type="dxa"/>
            <w:gridSpan w:val="2"/>
            <w:vMerge/>
            <w:shd w:val="clear" w:color="auto" w:fill="FFFFFF"/>
          </w:tcPr>
          <w:p w:rsidR="0040282B" w:rsidRPr="008B017A" w:rsidRDefault="0040282B" w:rsidP="008B017A">
            <w:pPr>
              <w:widowControl w:val="0"/>
              <w:autoSpaceDE w:val="0"/>
              <w:autoSpaceDN w:val="0"/>
              <w:adjustRightInd w:val="0"/>
              <w:spacing w:after="0" w:line="240" w:lineRule="auto"/>
              <w:jc w:val="both"/>
              <w:rPr>
                <w:rFonts w:asciiTheme="majorBidi" w:hAnsiTheme="majorBidi" w:cstheme="majorBidi"/>
                <w:sz w:val="24"/>
                <w:szCs w:val="24"/>
              </w:rPr>
            </w:pPr>
          </w:p>
        </w:tc>
        <w:tc>
          <w:tcPr>
            <w:tcW w:w="1244" w:type="dxa"/>
            <w:shd w:val="clear" w:color="auto" w:fill="FFFFFF"/>
          </w:tcPr>
          <w:p w:rsidR="0040282B" w:rsidRPr="008B017A" w:rsidRDefault="0040282B" w:rsidP="008B017A">
            <w:pPr>
              <w:widowControl w:val="0"/>
              <w:autoSpaceDE w:val="0"/>
              <w:autoSpaceDN w:val="0"/>
              <w:adjustRightInd w:val="0"/>
              <w:spacing w:after="0" w:line="240" w:lineRule="auto"/>
              <w:jc w:val="center"/>
              <w:rPr>
                <w:rFonts w:asciiTheme="majorBidi" w:hAnsiTheme="majorBidi" w:cstheme="majorBidi"/>
                <w:sz w:val="24"/>
                <w:szCs w:val="24"/>
              </w:rPr>
            </w:pPr>
            <w:r w:rsidRPr="008B017A">
              <w:rPr>
                <w:rFonts w:asciiTheme="majorBidi" w:hAnsiTheme="majorBidi" w:cstheme="majorBidi"/>
                <w:sz w:val="24"/>
                <w:szCs w:val="24"/>
              </w:rPr>
              <w:t>B</w:t>
            </w:r>
          </w:p>
        </w:tc>
        <w:tc>
          <w:tcPr>
            <w:tcW w:w="1244" w:type="dxa"/>
            <w:shd w:val="clear" w:color="auto" w:fill="FFFFFF"/>
          </w:tcPr>
          <w:p w:rsidR="0040282B" w:rsidRPr="008B017A" w:rsidRDefault="0040282B" w:rsidP="008B017A">
            <w:pPr>
              <w:widowControl w:val="0"/>
              <w:autoSpaceDE w:val="0"/>
              <w:autoSpaceDN w:val="0"/>
              <w:adjustRightInd w:val="0"/>
              <w:spacing w:after="0" w:line="240" w:lineRule="auto"/>
              <w:jc w:val="center"/>
              <w:rPr>
                <w:rFonts w:asciiTheme="majorBidi" w:hAnsiTheme="majorBidi" w:cstheme="majorBidi"/>
                <w:sz w:val="24"/>
                <w:szCs w:val="24"/>
              </w:rPr>
            </w:pPr>
            <w:r w:rsidRPr="008B017A">
              <w:rPr>
                <w:rFonts w:asciiTheme="majorBidi" w:hAnsiTheme="majorBidi" w:cstheme="majorBidi"/>
                <w:sz w:val="24"/>
                <w:szCs w:val="24"/>
              </w:rPr>
              <w:t>std. Error</w:t>
            </w:r>
          </w:p>
        </w:tc>
        <w:tc>
          <w:tcPr>
            <w:tcW w:w="1373" w:type="dxa"/>
            <w:shd w:val="clear" w:color="auto" w:fill="FFFFFF"/>
          </w:tcPr>
          <w:p w:rsidR="0040282B" w:rsidRPr="008B017A" w:rsidRDefault="0040282B" w:rsidP="008B017A">
            <w:pPr>
              <w:widowControl w:val="0"/>
              <w:autoSpaceDE w:val="0"/>
              <w:autoSpaceDN w:val="0"/>
              <w:adjustRightInd w:val="0"/>
              <w:spacing w:after="0" w:line="240" w:lineRule="auto"/>
              <w:jc w:val="center"/>
              <w:rPr>
                <w:rFonts w:asciiTheme="majorBidi" w:hAnsiTheme="majorBidi" w:cstheme="majorBidi"/>
                <w:sz w:val="24"/>
                <w:szCs w:val="24"/>
              </w:rPr>
            </w:pPr>
            <w:r w:rsidRPr="008B017A">
              <w:rPr>
                <w:rFonts w:asciiTheme="majorBidi" w:hAnsiTheme="majorBidi" w:cstheme="majorBidi"/>
                <w:sz w:val="24"/>
                <w:szCs w:val="24"/>
              </w:rPr>
              <w:t>Betas</w:t>
            </w:r>
          </w:p>
        </w:tc>
        <w:tc>
          <w:tcPr>
            <w:tcW w:w="943" w:type="dxa"/>
            <w:vMerge/>
            <w:shd w:val="clear" w:color="auto" w:fill="FFFFFF"/>
          </w:tcPr>
          <w:p w:rsidR="0040282B" w:rsidRPr="008B017A" w:rsidRDefault="0040282B" w:rsidP="008B017A">
            <w:pPr>
              <w:widowControl w:val="0"/>
              <w:autoSpaceDE w:val="0"/>
              <w:autoSpaceDN w:val="0"/>
              <w:adjustRightInd w:val="0"/>
              <w:spacing w:after="0" w:line="240" w:lineRule="auto"/>
              <w:jc w:val="both"/>
              <w:rPr>
                <w:rFonts w:asciiTheme="majorBidi" w:hAnsiTheme="majorBidi" w:cstheme="majorBidi"/>
                <w:sz w:val="24"/>
                <w:szCs w:val="24"/>
              </w:rPr>
            </w:pPr>
          </w:p>
        </w:tc>
        <w:tc>
          <w:tcPr>
            <w:tcW w:w="945" w:type="dxa"/>
            <w:vMerge/>
            <w:shd w:val="clear" w:color="auto" w:fill="FFFFFF"/>
          </w:tcPr>
          <w:p w:rsidR="0040282B" w:rsidRPr="008B017A" w:rsidRDefault="0040282B" w:rsidP="008B017A">
            <w:pPr>
              <w:widowControl w:val="0"/>
              <w:autoSpaceDE w:val="0"/>
              <w:autoSpaceDN w:val="0"/>
              <w:adjustRightInd w:val="0"/>
              <w:spacing w:after="0" w:line="240" w:lineRule="auto"/>
              <w:jc w:val="both"/>
              <w:rPr>
                <w:rFonts w:asciiTheme="majorBidi" w:hAnsiTheme="majorBidi" w:cstheme="majorBidi"/>
                <w:sz w:val="24"/>
                <w:szCs w:val="24"/>
              </w:rPr>
            </w:pPr>
          </w:p>
        </w:tc>
      </w:tr>
      <w:tr w:rsidR="0040282B" w:rsidRPr="008B017A" w:rsidTr="008B017A">
        <w:trPr>
          <w:cantSplit/>
          <w:trHeight w:val="298"/>
        </w:trPr>
        <w:tc>
          <w:tcPr>
            <w:tcW w:w="687" w:type="dxa"/>
            <w:vMerge w:val="restart"/>
            <w:shd w:val="clear" w:color="auto" w:fill="FFFFFF"/>
            <w:vAlign w:val="center"/>
          </w:tcPr>
          <w:p w:rsidR="0040282B" w:rsidRPr="008B017A" w:rsidRDefault="0040282B" w:rsidP="008B017A">
            <w:pPr>
              <w:widowControl w:val="0"/>
              <w:autoSpaceDE w:val="0"/>
              <w:autoSpaceDN w:val="0"/>
              <w:adjustRightInd w:val="0"/>
              <w:spacing w:after="0" w:line="240" w:lineRule="auto"/>
              <w:rPr>
                <w:rFonts w:asciiTheme="majorBidi" w:hAnsiTheme="majorBidi" w:cstheme="majorBidi"/>
                <w:sz w:val="24"/>
                <w:szCs w:val="24"/>
              </w:rPr>
            </w:pPr>
            <w:r w:rsidRPr="008B017A">
              <w:rPr>
                <w:rFonts w:asciiTheme="majorBidi" w:hAnsiTheme="majorBidi" w:cstheme="majorBidi"/>
                <w:sz w:val="24"/>
                <w:szCs w:val="24"/>
              </w:rPr>
              <w:t>1</w:t>
            </w:r>
          </w:p>
        </w:tc>
        <w:tc>
          <w:tcPr>
            <w:tcW w:w="2160" w:type="dxa"/>
            <w:shd w:val="clear" w:color="auto" w:fill="FFFFFF"/>
            <w:vAlign w:val="center"/>
          </w:tcPr>
          <w:p w:rsidR="0040282B" w:rsidRPr="008B017A" w:rsidRDefault="0040282B" w:rsidP="008B017A">
            <w:pPr>
              <w:widowControl w:val="0"/>
              <w:autoSpaceDE w:val="0"/>
              <w:autoSpaceDN w:val="0"/>
              <w:adjustRightInd w:val="0"/>
              <w:spacing w:after="0" w:line="240" w:lineRule="auto"/>
              <w:rPr>
                <w:rFonts w:asciiTheme="majorBidi" w:hAnsiTheme="majorBidi" w:cstheme="majorBidi"/>
                <w:sz w:val="24"/>
                <w:szCs w:val="24"/>
              </w:rPr>
            </w:pPr>
            <w:r w:rsidRPr="008B017A">
              <w:rPr>
                <w:rFonts w:asciiTheme="majorBidi" w:hAnsiTheme="majorBidi" w:cstheme="majorBidi"/>
                <w:sz w:val="24"/>
                <w:szCs w:val="24"/>
              </w:rPr>
              <w:t>(Constant)</w:t>
            </w:r>
          </w:p>
        </w:tc>
        <w:tc>
          <w:tcPr>
            <w:tcW w:w="1244"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.186</w:t>
            </w:r>
          </w:p>
        </w:tc>
        <w:tc>
          <w:tcPr>
            <w:tcW w:w="1244"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.232</w:t>
            </w:r>
          </w:p>
        </w:tc>
        <w:tc>
          <w:tcPr>
            <w:tcW w:w="1373" w:type="dxa"/>
            <w:shd w:val="clear" w:color="auto" w:fill="FFFFFF"/>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p>
        </w:tc>
        <w:tc>
          <w:tcPr>
            <w:tcW w:w="943"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.775</w:t>
            </w:r>
          </w:p>
        </w:tc>
        <w:tc>
          <w:tcPr>
            <w:tcW w:w="945"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.440</w:t>
            </w:r>
          </w:p>
        </w:tc>
      </w:tr>
      <w:tr w:rsidR="0040282B" w:rsidRPr="008B017A" w:rsidTr="008B017A">
        <w:trPr>
          <w:cantSplit/>
          <w:trHeight w:val="177"/>
        </w:trPr>
        <w:tc>
          <w:tcPr>
            <w:tcW w:w="687" w:type="dxa"/>
            <w:vMerge/>
            <w:shd w:val="clear" w:color="auto" w:fill="FFFFFF"/>
            <w:vAlign w:val="center"/>
          </w:tcPr>
          <w:p w:rsidR="0040282B" w:rsidRPr="008B017A" w:rsidRDefault="0040282B" w:rsidP="008B017A">
            <w:pPr>
              <w:widowControl w:val="0"/>
              <w:autoSpaceDE w:val="0"/>
              <w:autoSpaceDN w:val="0"/>
              <w:adjustRightInd w:val="0"/>
              <w:spacing w:after="0" w:line="240" w:lineRule="auto"/>
              <w:rPr>
                <w:rFonts w:asciiTheme="majorBidi" w:hAnsiTheme="majorBidi" w:cstheme="majorBidi"/>
                <w:sz w:val="24"/>
                <w:szCs w:val="24"/>
              </w:rPr>
            </w:pPr>
          </w:p>
        </w:tc>
        <w:tc>
          <w:tcPr>
            <w:tcW w:w="2160" w:type="dxa"/>
            <w:shd w:val="clear" w:color="auto" w:fill="FFFFFF"/>
            <w:vAlign w:val="center"/>
          </w:tcPr>
          <w:p w:rsidR="0040282B" w:rsidRPr="008B017A" w:rsidRDefault="0040282B" w:rsidP="008B017A">
            <w:pPr>
              <w:widowControl w:val="0"/>
              <w:autoSpaceDE w:val="0"/>
              <w:autoSpaceDN w:val="0"/>
              <w:adjustRightInd w:val="0"/>
              <w:spacing w:after="0" w:line="240" w:lineRule="auto"/>
              <w:rPr>
                <w:rFonts w:asciiTheme="majorBidi" w:hAnsiTheme="majorBidi" w:cstheme="majorBidi"/>
                <w:sz w:val="24"/>
                <w:szCs w:val="24"/>
              </w:rPr>
            </w:pPr>
            <w:proofErr w:type="spellStart"/>
            <w:r w:rsidRPr="008B017A">
              <w:rPr>
                <w:rFonts w:asciiTheme="majorBidi" w:hAnsiTheme="majorBidi" w:cstheme="majorBidi"/>
                <w:sz w:val="24"/>
                <w:szCs w:val="24"/>
              </w:rPr>
              <w:t>Ln_Tax</w:t>
            </w:r>
            <w:proofErr w:type="spellEnd"/>
            <w:r w:rsidRPr="008B017A">
              <w:rPr>
                <w:rFonts w:asciiTheme="majorBidi" w:hAnsiTheme="majorBidi" w:cstheme="majorBidi"/>
                <w:sz w:val="24"/>
                <w:szCs w:val="24"/>
              </w:rPr>
              <w:t xml:space="preserve"> Avoidance</w:t>
            </w:r>
          </w:p>
        </w:tc>
        <w:tc>
          <w:tcPr>
            <w:tcW w:w="1244"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-.180</w:t>
            </w:r>
          </w:p>
        </w:tc>
        <w:tc>
          <w:tcPr>
            <w:tcW w:w="1244"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.141</w:t>
            </w:r>
          </w:p>
        </w:tc>
        <w:tc>
          <w:tcPr>
            <w:tcW w:w="1373"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-.132</w:t>
            </w:r>
          </w:p>
        </w:tc>
        <w:tc>
          <w:tcPr>
            <w:tcW w:w="943" w:type="dxa"/>
            <w:shd w:val="clear" w:color="auto" w:fill="FFFFFF"/>
            <w:vAlign w:val="center"/>
          </w:tcPr>
          <w:p w:rsidR="0040282B" w:rsidRPr="008B017A" w:rsidRDefault="00A3160D"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-1,316</w:t>
            </w:r>
          </w:p>
        </w:tc>
        <w:tc>
          <w:tcPr>
            <w:tcW w:w="945" w:type="dxa"/>
            <w:shd w:val="clear" w:color="auto" w:fill="FFFFFF"/>
            <w:vAlign w:val="center"/>
          </w:tcPr>
          <w:p w:rsidR="0040282B" w:rsidRPr="008B017A" w:rsidRDefault="0040282B" w:rsidP="008B017A">
            <w:pPr>
              <w:widowControl w:val="0"/>
              <w:autoSpaceDE w:val="0"/>
              <w:autoSpaceDN w:val="0"/>
              <w:adjustRightInd w:val="0"/>
              <w:spacing w:after="0" w:line="240" w:lineRule="auto"/>
              <w:jc w:val="right"/>
              <w:rPr>
                <w:rFonts w:asciiTheme="majorBidi" w:hAnsiTheme="majorBidi" w:cstheme="majorBidi"/>
                <w:sz w:val="24"/>
                <w:szCs w:val="24"/>
              </w:rPr>
            </w:pPr>
            <w:r w:rsidRPr="008B017A">
              <w:rPr>
                <w:rFonts w:asciiTheme="majorBidi" w:hAnsiTheme="majorBidi" w:cstheme="majorBidi"/>
                <w:sz w:val="24"/>
                <w:szCs w:val="24"/>
              </w:rPr>
              <w:t>.191</w:t>
            </w:r>
          </w:p>
        </w:tc>
      </w:tr>
    </w:tbl>
    <w:p w:rsidR="001F25A3" w:rsidRPr="008B017A" w:rsidRDefault="001F25A3" w:rsidP="008B017A">
      <w:pPr>
        <w:widowControl w:val="0"/>
        <w:autoSpaceDE w:val="0"/>
        <w:autoSpaceDN w:val="0"/>
        <w:adjustRightInd w:val="0"/>
        <w:spacing w:after="0"/>
        <w:jc w:val="both"/>
        <w:rPr>
          <w:rFonts w:asciiTheme="majorBidi" w:hAnsiTheme="majorBidi" w:cstheme="majorBidi"/>
          <w:sz w:val="24"/>
          <w:szCs w:val="24"/>
        </w:rPr>
      </w:pPr>
      <w:r w:rsidRPr="008B017A">
        <w:rPr>
          <w:rFonts w:asciiTheme="majorBidi" w:hAnsiTheme="majorBidi" w:cstheme="majorBidi"/>
          <w:sz w:val="24"/>
          <w:szCs w:val="24"/>
        </w:rPr>
        <w:t>Dependent Variable:</w:t>
      </w:r>
      <w:r w:rsidR="008B017A" w:rsidRPr="008B017A">
        <w:rPr>
          <w:rFonts w:asciiTheme="majorBidi" w:hAnsiTheme="majorBidi" w:cstheme="majorBidi"/>
          <w:sz w:val="24"/>
          <w:szCs w:val="24"/>
        </w:rPr>
        <w:t xml:space="preserve"> </w:t>
      </w:r>
      <w:proofErr w:type="spellStart"/>
      <w:r w:rsidRPr="008B017A">
        <w:rPr>
          <w:rFonts w:asciiTheme="majorBidi" w:hAnsiTheme="majorBidi" w:cstheme="majorBidi"/>
          <w:sz w:val="24"/>
          <w:szCs w:val="24"/>
        </w:rPr>
        <w:t>Ln_External</w:t>
      </w:r>
      <w:proofErr w:type="spellEnd"/>
      <w:r w:rsidRPr="008B017A">
        <w:rPr>
          <w:rFonts w:asciiTheme="majorBidi" w:hAnsiTheme="majorBidi" w:cstheme="majorBidi"/>
          <w:sz w:val="24"/>
          <w:szCs w:val="24"/>
        </w:rPr>
        <w:t xml:space="preserve"> Funding</w:t>
      </w:r>
    </w:p>
    <w:p w:rsidR="00EF62D4" w:rsidRPr="008B017A" w:rsidRDefault="00D83EF7" w:rsidP="00970A21">
      <w:pPr>
        <w:widowControl w:val="0"/>
        <w:autoSpaceDE w:val="0"/>
        <w:autoSpaceDN w:val="0"/>
        <w:adjustRightInd w:val="0"/>
        <w:spacing w:after="0"/>
        <w:jc w:val="both"/>
        <w:rPr>
          <w:rFonts w:asciiTheme="majorBidi" w:hAnsiTheme="majorBidi" w:cstheme="majorBidi"/>
          <w:iCs/>
          <w:sz w:val="24"/>
          <w:szCs w:val="24"/>
        </w:rPr>
      </w:pPr>
      <w:r w:rsidRPr="008B017A">
        <w:rPr>
          <w:rFonts w:asciiTheme="majorBidi" w:hAnsiTheme="majorBidi" w:cstheme="majorBidi"/>
          <w:iCs/>
          <w:sz w:val="24"/>
          <w:szCs w:val="24"/>
        </w:rPr>
        <w:t>Source: data processed in 2022</w:t>
      </w:r>
    </w:p>
    <w:p w:rsidR="00EF62D4" w:rsidRPr="00191588" w:rsidRDefault="006C2B4E" w:rsidP="00191588">
      <w:pPr>
        <w:widowControl w:val="0"/>
        <w:autoSpaceDE w:val="0"/>
        <w:autoSpaceDN w:val="0"/>
        <w:adjustRightInd w:val="0"/>
        <w:spacing w:before="120" w:after="0"/>
        <w:jc w:val="both"/>
        <w:rPr>
          <w:rFonts w:asciiTheme="majorBidi" w:hAnsiTheme="majorBidi" w:cstheme="majorBidi"/>
          <w:sz w:val="24"/>
          <w:szCs w:val="24"/>
        </w:rPr>
      </w:pPr>
      <w:r w:rsidRPr="00191588">
        <w:rPr>
          <w:rFonts w:asciiTheme="majorBidi" w:hAnsiTheme="majorBidi" w:cstheme="majorBidi"/>
          <w:sz w:val="24"/>
          <w:szCs w:val="24"/>
        </w:rPr>
        <w:t>Based on table 4.4 above, the results obtained are constant (a) of 0.186, while the value of working capital financing (b/regression coefficient) is -0.180. From these results it can be included in the regression equation as follows:</w:t>
      </w:r>
    </w:p>
    <w:p w:rsidR="00EF62D4" w:rsidRPr="00191588" w:rsidRDefault="00D83EF7" w:rsidP="00191588">
      <w:pPr>
        <w:widowControl w:val="0"/>
        <w:autoSpaceDE w:val="0"/>
        <w:autoSpaceDN w:val="0"/>
        <w:adjustRightInd w:val="0"/>
        <w:spacing w:before="120" w:after="0"/>
        <w:ind w:left="1440" w:firstLine="1440"/>
        <w:jc w:val="both"/>
        <w:rPr>
          <w:rFonts w:asciiTheme="majorBidi" w:hAnsiTheme="majorBidi" w:cstheme="majorBidi"/>
          <w:sz w:val="24"/>
          <w:szCs w:val="24"/>
        </w:rPr>
      </w:pPr>
      <w:r w:rsidRPr="00191588">
        <w:rPr>
          <w:rFonts w:asciiTheme="majorBidi" w:hAnsiTheme="majorBidi" w:cstheme="majorBidi"/>
          <w:sz w:val="24"/>
          <w:szCs w:val="24"/>
        </w:rPr>
        <w:t xml:space="preserve">Y = </w:t>
      </w:r>
      <w:proofErr w:type="spellStart"/>
      <w:r w:rsidRPr="00191588">
        <w:rPr>
          <w:rFonts w:asciiTheme="majorBidi" w:hAnsiTheme="majorBidi" w:cstheme="majorBidi"/>
          <w:sz w:val="24"/>
          <w:szCs w:val="24"/>
        </w:rPr>
        <w:t>a+bX</w:t>
      </w:r>
      <w:proofErr w:type="spellEnd"/>
    </w:p>
    <w:p w:rsidR="00EF62D4" w:rsidRPr="00191588" w:rsidRDefault="00A3160D" w:rsidP="00191588">
      <w:pPr>
        <w:widowControl w:val="0"/>
        <w:autoSpaceDE w:val="0"/>
        <w:autoSpaceDN w:val="0"/>
        <w:adjustRightInd w:val="0"/>
        <w:spacing w:before="120" w:after="0"/>
        <w:ind w:left="1440" w:firstLine="1440"/>
        <w:jc w:val="both"/>
        <w:rPr>
          <w:rFonts w:asciiTheme="majorBidi" w:hAnsiTheme="majorBidi" w:cstheme="majorBidi"/>
          <w:sz w:val="24"/>
          <w:szCs w:val="24"/>
          <w:lang w:val="id-ID"/>
        </w:rPr>
      </w:pPr>
      <w:r w:rsidRPr="00191588">
        <w:rPr>
          <w:rFonts w:asciiTheme="majorBidi" w:hAnsiTheme="majorBidi" w:cstheme="majorBidi"/>
          <w:sz w:val="24"/>
          <w:szCs w:val="24"/>
        </w:rPr>
        <w:t>Y = 0.186 + -0.180X</w:t>
      </w:r>
    </w:p>
    <w:p w:rsidR="00EF62D4" w:rsidRDefault="00D83EF7" w:rsidP="00191588">
      <w:pPr>
        <w:widowControl w:val="0"/>
        <w:autoSpaceDE w:val="0"/>
        <w:autoSpaceDN w:val="0"/>
        <w:adjustRightInd w:val="0"/>
        <w:spacing w:before="120" w:after="0"/>
        <w:jc w:val="both"/>
        <w:rPr>
          <w:rFonts w:asciiTheme="majorBidi" w:hAnsiTheme="majorBidi" w:cstheme="majorBidi"/>
          <w:sz w:val="24"/>
          <w:szCs w:val="24"/>
          <w:lang w:val="id-ID"/>
        </w:rPr>
      </w:pPr>
      <w:r w:rsidRPr="00191588">
        <w:rPr>
          <w:rFonts w:asciiTheme="majorBidi" w:hAnsiTheme="majorBidi" w:cstheme="majorBidi"/>
          <w:sz w:val="24"/>
          <w:szCs w:val="24"/>
          <w:lang w:val="id-ID"/>
        </w:rPr>
        <w:t>The results of the above equation can be translated as a constant of 0.186 which means that the consistency value of the external funding variable is 0.186, the regression coefficient of the tax avoidance variable is -0.180 which states that the direction of the effect of tax avoidance is negative.</w:t>
      </w:r>
    </w:p>
    <w:p w:rsidR="00045915" w:rsidRPr="00191588" w:rsidRDefault="00045915" w:rsidP="00191588">
      <w:pPr>
        <w:widowControl w:val="0"/>
        <w:autoSpaceDE w:val="0"/>
        <w:autoSpaceDN w:val="0"/>
        <w:adjustRightInd w:val="0"/>
        <w:spacing w:before="120" w:after="0"/>
        <w:jc w:val="both"/>
        <w:rPr>
          <w:rFonts w:asciiTheme="majorBidi" w:hAnsiTheme="majorBidi" w:cstheme="majorBidi"/>
          <w:sz w:val="24"/>
          <w:szCs w:val="24"/>
          <w:lang w:val="id-ID"/>
        </w:rPr>
      </w:pPr>
    </w:p>
    <w:p w:rsidR="00EF62D4" w:rsidRPr="008A16C0" w:rsidRDefault="00D83EF7" w:rsidP="008A16C0">
      <w:pPr>
        <w:widowControl w:val="0"/>
        <w:autoSpaceDE w:val="0"/>
        <w:autoSpaceDN w:val="0"/>
        <w:adjustRightInd w:val="0"/>
        <w:spacing w:after="0"/>
        <w:rPr>
          <w:rFonts w:asciiTheme="majorBidi" w:hAnsiTheme="majorBidi" w:cstheme="majorBidi"/>
          <w:b/>
          <w:sz w:val="24"/>
          <w:szCs w:val="24"/>
        </w:rPr>
      </w:pPr>
      <w:r w:rsidRPr="008A16C0">
        <w:rPr>
          <w:rFonts w:asciiTheme="majorBidi" w:hAnsiTheme="majorBidi" w:cstheme="majorBidi"/>
          <w:b/>
          <w:sz w:val="24"/>
          <w:szCs w:val="24"/>
        </w:rPr>
        <w:lastRenderedPageBreak/>
        <w:t>T test (Partial).</w:t>
      </w:r>
    </w:p>
    <w:p w:rsidR="00EF62D4" w:rsidRPr="00191588" w:rsidRDefault="00D83EF7" w:rsidP="008A16C0">
      <w:pPr>
        <w:widowControl w:val="0"/>
        <w:autoSpaceDE w:val="0"/>
        <w:autoSpaceDN w:val="0"/>
        <w:adjustRightInd w:val="0"/>
        <w:spacing w:after="0"/>
        <w:jc w:val="both"/>
        <w:rPr>
          <w:rFonts w:asciiTheme="majorBidi" w:hAnsiTheme="majorBidi" w:cstheme="majorBidi"/>
          <w:sz w:val="24"/>
          <w:szCs w:val="24"/>
        </w:rPr>
      </w:pPr>
      <w:r w:rsidRPr="00191588">
        <w:rPr>
          <w:rFonts w:asciiTheme="majorBidi" w:hAnsiTheme="majorBidi" w:cstheme="majorBidi"/>
          <w:sz w:val="24"/>
          <w:szCs w:val="24"/>
        </w:rPr>
        <w:t>Partial test (t test) is used to test the hypothesis partially in order to show the effect of each independent variable individually on the dependent variable. The following are the results of the t test using SPSS software.</w:t>
      </w:r>
    </w:p>
    <w:p w:rsidR="00EF62D4" w:rsidRPr="00191588" w:rsidRDefault="009A0949" w:rsidP="00191588">
      <w:pPr>
        <w:pStyle w:val="ListParagraph1"/>
        <w:widowControl w:val="0"/>
        <w:autoSpaceDE w:val="0"/>
        <w:autoSpaceDN w:val="0"/>
        <w:adjustRightInd w:val="0"/>
        <w:spacing w:after="0"/>
        <w:ind w:left="0"/>
        <w:contextualSpacing w:val="0"/>
        <w:jc w:val="center"/>
        <w:rPr>
          <w:rFonts w:asciiTheme="majorBidi" w:hAnsiTheme="majorBidi" w:cstheme="majorBidi"/>
          <w:sz w:val="24"/>
          <w:szCs w:val="24"/>
          <w:lang w:val="id-ID"/>
        </w:rPr>
      </w:pPr>
      <w:r w:rsidRPr="00191588">
        <w:rPr>
          <w:rFonts w:asciiTheme="majorBidi" w:hAnsiTheme="majorBidi" w:cstheme="majorBidi"/>
          <w:b/>
          <w:sz w:val="24"/>
          <w:szCs w:val="24"/>
        </w:rPr>
        <w:t>Table 10</w:t>
      </w:r>
      <w:r w:rsidR="00191588" w:rsidRPr="00191588">
        <w:rPr>
          <w:rFonts w:asciiTheme="majorBidi" w:hAnsiTheme="majorBidi" w:cstheme="majorBidi"/>
          <w:b/>
          <w:sz w:val="24"/>
          <w:szCs w:val="24"/>
        </w:rPr>
        <w:t xml:space="preserve">. </w:t>
      </w:r>
      <w:r w:rsidR="00D83EF7" w:rsidRPr="00191588">
        <w:rPr>
          <w:rFonts w:asciiTheme="majorBidi" w:hAnsiTheme="majorBidi" w:cstheme="majorBidi"/>
          <w:sz w:val="24"/>
          <w:szCs w:val="24"/>
        </w:rPr>
        <w:t>T test</w:t>
      </w:r>
    </w:p>
    <w:p w:rsidR="00EF62D4" w:rsidRPr="00191588" w:rsidRDefault="00D83EF7" w:rsidP="00191588">
      <w:pPr>
        <w:pStyle w:val="ListParagraph1"/>
        <w:widowControl w:val="0"/>
        <w:autoSpaceDE w:val="0"/>
        <w:autoSpaceDN w:val="0"/>
        <w:adjustRightInd w:val="0"/>
        <w:spacing w:after="0"/>
        <w:ind w:left="0"/>
        <w:contextualSpacing w:val="0"/>
        <w:jc w:val="center"/>
        <w:rPr>
          <w:rFonts w:asciiTheme="majorBidi" w:hAnsiTheme="majorBidi" w:cstheme="majorBidi"/>
          <w:sz w:val="24"/>
          <w:szCs w:val="24"/>
        </w:rPr>
      </w:pPr>
      <w:proofErr w:type="spellStart"/>
      <w:r w:rsidRPr="00191588">
        <w:rPr>
          <w:rFonts w:asciiTheme="majorBidi" w:hAnsiTheme="majorBidi" w:cstheme="majorBidi"/>
          <w:sz w:val="24"/>
          <w:szCs w:val="24"/>
        </w:rPr>
        <w:t>Coefficientsa</w:t>
      </w:r>
      <w:proofErr w:type="spellEnd"/>
    </w:p>
    <w:tbl>
      <w:tblPr>
        <w:tblpPr w:leftFromText="180" w:rightFromText="180" w:vertAnchor="text" w:horzAnchor="margin" w:tblpXSpec="center" w:tblpY="24"/>
        <w:tblW w:w="9155"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2"/>
        <w:gridCol w:w="2301"/>
        <w:gridCol w:w="1325"/>
        <w:gridCol w:w="1325"/>
        <w:gridCol w:w="1462"/>
        <w:gridCol w:w="1005"/>
        <w:gridCol w:w="1005"/>
      </w:tblGrid>
      <w:tr w:rsidR="001901F7" w:rsidRPr="00191588" w:rsidTr="00191588">
        <w:trPr>
          <w:cantSplit/>
          <w:trHeight w:val="575"/>
        </w:trPr>
        <w:tc>
          <w:tcPr>
            <w:tcW w:w="3033" w:type="dxa"/>
            <w:gridSpan w:val="2"/>
            <w:vMerge w:val="restart"/>
            <w:shd w:val="clear" w:color="auto" w:fill="FFFFFF"/>
          </w:tcPr>
          <w:p w:rsidR="001901F7" w:rsidRPr="00191588" w:rsidRDefault="001901F7" w:rsidP="00970A21">
            <w:pPr>
              <w:widowControl w:val="0"/>
              <w:spacing w:after="0"/>
              <w:rPr>
                <w:rFonts w:asciiTheme="majorBidi" w:hAnsiTheme="majorBidi" w:cstheme="majorBidi"/>
                <w:sz w:val="24"/>
                <w:szCs w:val="24"/>
              </w:rPr>
            </w:pPr>
            <w:r w:rsidRPr="00191588">
              <w:rPr>
                <w:rFonts w:asciiTheme="majorBidi" w:hAnsiTheme="majorBidi" w:cstheme="majorBidi"/>
                <w:sz w:val="24"/>
                <w:szCs w:val="24"/>
              </w:rPr>
              <w:t>Model</w:t>
            </w:r>
          </w:p>
        </w:tc>
        <w:tc>
          <w:tcPr>
            <w:tcW w:w="2650" w:type="dxa"/>
            <w:gridSpan w:val="2"/>
            <w:shd w:val="clear" w:color="auto" w:fill="FFFFFF"/>
          </w:tcPr>
          <w:p w:rsidR="001901F7" w:rsidRPr="00191588" w:rsidRDefault="001901F7" w:rsidP="00970A21">
            <w:pPr>
              <w:widowControl w:val="0"/>
              <w:spacing w:after="0"/>
              <w:rPr>
                <w:rFonts w:asciiTheme="majorBidi" w:hAnsiTheme="majorBidi" w:cstheme="majorBidi"/>
                <w:sz w:val="24"/>
                <w:szCs w:val="24"/>
              </w:rPr>
            </w:pPr>
            <w:r w:rsidRPr="00191588">
              <w:rPr>
                <w:rFonts w:asciiTheme="majorBidi" w:hAnsiTheme="majorBidi" w:cstheme="majorBidi"/>
                <w:sz w:val="24"/>
                <w:szCs w:val="24"/>
              </w:rPr>
              <w:t>Unstandardized Coefficients</w:t>
            </w:r>
          </w:p>
        </w:tc>
        <w:tc>
          <w:tcPr>
            <w:tcW w:w="1462" w:type="dxa"/>
            <w:shd w:val="clear" w:color="auto" w:fill="FFFFFF"/>
          </w:tcPr>
          <w:p w:rsidR="001901F7" w:rsidRPr="00191588" w:rsidRDefault="001901F7" w:rsidP="00970A21">
            <w:pPr>
              <w:widowControl w:val="0"/>
              <w:spacing w:after="0"/>
              <w:rPr>
                <w:rFonts w:asciiTheme="majorBidi" w:hAnsiTheme="majorBidi" w:cstheme="majorBidi"/>
                <w:sz w:val="24"/>
                <w:szCs w:val="24"/>
              </w:rPr>
            </w:pPr>
            <w:r w:rsidRPr="00191588">
              <w:rPr>
                <w:rFonts w:asciiTheme="majorBidi" w:hAnsiTheme="majorBidi" w:cstheme="majorBidi"/>
                <w:sz w:val="24"/>
                <w:szCs w:val="24"/>
              </w:rPr>
              <w:t>Standardized Coefficients</w:t>
            </w:r>
          </w:p>
        </w:tc>
        <w:tc>
          <w:tcPr>
            <w:tcW w:w="1005" w:type="dxa"/>
            <w:vMerge w:val="restart"/>
            <w:shd w:val="clear" w:color="auto" w:fill="FFFFFF"/>
          </w:tcPr>
          <w:p w:rsidR="001901F7" w:rsidRPr="00191588" w:rsidRDefault="00D26DB0" w:rsidP="00970A21">
            <w:pPr>
              <w:widowControl w:val="0"/>
              <w:spacing w:after="0"/>
              <w:jc w:val="center"/>
              <w:rPr>
                <w:rFonts w:asciiTheme="majorBidi" w:hAnsiTheme="majorBidi" w:cstheme="majorBidi"/>
                <w:sz w:val="24"/>
                <w:szCs w:val="24"/>
              </w:rPr>
            </w:pPr>
            <w:r w:rsidRPr="00191588">
              <w:rPr>
                <w:rFonts w:asciiTheme="majorBidi" w:hAnsiTheme="majorBidi" w:cstheme="majorBidi"/>
                <w:sz w:val="24"/>
                <w:szCs w:val="24"/>
              </w:rPr>
              <w:t>Q</w:t>
            </w:r>
          </w:p>
        </w:tc>
        <w:tc>
          <w:tcPr>
            <w:tcW w:w="1005" w:type="dxa"/>
            <w:vMerge w:val="restart"/>
            <w:shd w:val="clear" w:color="auto" w:fill="FFFFFF"/>
          </w:tcPr>
          <w:p w:rsidR="001901F7" w:rsidRPr="00191588" w:rsidRDefault="001901F7" w:rsidP="00970A21">
            <w:pPr>
              <w:widowControl w:val="0"/>
              <w:spacing w:after="0"/>
              <w:jc w:val="center"/>
              <w:rPr>
                <w:rFonts w:asciiTheme="majorBidi" w:hAnsiTheme="majorBidi" w:cstheme="majorBidi"/>
                <w:sz w:val="24"/>
                <w:szCs w:val="24"/>
              </w:rPr>
            </w:pPr>
            <w:r w:rsidRPr="00191588">
              <w:rPr>
                <w:rFonts w:asciiTheme="majorBidi" w:hAnsiTheme="majorBidi" w:cstheme="majorBidi"/>
                <w:sz w:val="24"/>
                <w:szCs w:val="24"/>
              </w:rPr>
              <w:t>Sig.</w:t>
            </w:r>
          </w:p>
        </w:tc>
      </w:tr>
      <w:tr w:rsidR="001901F7" w:rsidRPr="00191588" w:rsidTr="00191588">
        <w:trPr>
          <w:cantSplit/>
          <w:trHeight w:val="143"/>
        </w:trPr>
        <w:tc>
          <w:tcPr>
            <w:tcW w:w="3033" w:type="dxa"/>
            <w:gridSpan w:val="2"/>
            <w:vMerge/>
            <w:shd w:val="clear" w:color="auto" w:fill="FFFFFF"/>
          </w:tcPr>
          <w:p w:rsidR="001901F7" w:rsidRPr="00191588" w:rsidRDefault="001901F7" w:rsidP="00970A21">
            <w:pPr>
              <w:widowControl w:val="0"/>
              <w:spacing w:after="0"/>
              <w:rPr>
                <w:rFonts w:asciiTheme="majorBidi" w:hAnsiTheme="majorBidi" w:cstheme="majorBidi"/>
                <w:sz w:val="24"/>
                <w:szCs w:val="24"/>
              </w:rPr>
            </w:pPr>
          </w:p>
        </w:tc>
        <w:tc>
          <w:tcPr>
            <w:tcW w:w="1325" w:type="dxa"/>
            <w:shd w:val="clear" w:color="auto" w:fill="FFFFFF"/>
          </w:tcPr>
          <w:p w:rsidR="001901F7" w:rsidRPr="00191588" w:rsidRDefault="001901F7" w:rsidP="00970A21">
            <w:pPr>
              <w:widowControl w:val="0"/>
              <w:spacing w:after="0"/>
              <w:jc w:val="center"/>
              <w:rPr>
                <w:rFonts w:asciiTheme="majorBidi" w:hAnsiTheme="majorBidi" w:cstheme="majorBidi"/>
                <w:sz w:val="24"/>
                <w:szCs w:val="24"/>
              </w:rPr>
            </w:pPr>
            <w:r w:rsidRPr="00191588">
              <w:rPr>
                <w:rFonts w:asciiTheme="majorBidi" w:hAnsiTheme="majorBidi" w:cstheme="majorBidi"/>
                <w:sz w:val="24"/>
                <w:szCs w:val="24"/>
              </w:rPr>
              <w:t>B</w:t>
            </w:r>
          </w:p>
        </w:tc>
        <w:tc>
          <w:tcPr>
            <w:tcW w:w="1325" w:type="dxa"/>
            <w:shd w:val="clear" w:color="auto" w:fill="FFFFFF"/>
          </w:tcPr>
          <w:p w:rsidR="001901F7" w:rsidRPr="00191588" w:rsidRDefault="001901F7" w:rsidP="00970A21">
            <w:pPr>
              <w:widowControl w:val="0"/>
              <w:spacing w:after="0"/>
              <w:jc w:val="center"/>
              <w:rPr>
                <w:rFonts w:asciiTheme="majorBidi" w:hAnsiTheme="majorBidi" w:cstheme="majorBidi"/>
                <w:sz w:val="24"/>
                <w:szCs w:val="24"/>
              </w:rPr>
            </w:pPr>
            <w:r w:rsidRPr="00191588">
              <w:rPr>
                <w:rFonts w:asciiTheme="majorBidi" w:hAnsiTheme="majorBidi" w:cstheme="majorBidi"/>
                <w:sz w:val="24"/>
                <w:szCs w:val="24"/>
              </w:rPr>
              <w:t>std. Error</w:t>
            </w:r>
          </w:p>
        </w:tc>
        <w:tc>
          <w:tcPr>
            <w:tcW w:w="1462" w:type="dxa"/>
            <w:shd w:val="clear" w:color="auto" w:fill="FFFFFF"/>
          </w:tcPr>
          <w:p w:rsidR="001901F7" w:rsidRPr="00191588" w:rsidRDefault="001901F7" w:rsidP="00970A21">
            <w:pPr>
              <w:widowControl w:val="0"/>
              <w:spacing w:after="0"/>
              <w:jc w:val="center"/>
              <w:rPr>
                <w:rFonts w:asciiTheme="majorBidi" w:hAnsiTheme="majorBidi" w:cstheme="majorBidi"/>
                <w:sz w:val="24"/>
                <w:szCs w:val="24"/>
              </w:rPr>
            </w:pPr>
            <w:r w:rsidRPr="00191588">
              <w:rPr>
                <w:rFonts w:asciiTheme="majorBidi" w:hAnsiTheme="majorBidi" w:cstheme="majorBidi"/>
                <w:sz w:val="24"/>
                <w:szCs w:val="24"/>
              </w:rPr>
              <w:t>Betas</w:t>
            </w:r>
          </w:p>
        </w:tc>
        <w:tc>
          <w:tcPr>
            <w:tcW w:w="1005" w:type="dxa"/>
            <w:vMerge/>
            <w:shd w:val="clear" w:color="auto" w:fill="FFFFFF"/>
          </w:tcPr>
          <w:p w:rsidR="001901F7" w:rsidRPr="00191588" w:rsidRDefault="001901F7" w:rsidP="00970A21">
            <w:pPr>
              <w:widowControl w:val="0"/>
              <w:spacing w:after="0"/>
              <w:rPr>
                <w:rFonts w:asciiTheme="majorBidi" w:hAnsiTheme="majorBidi" w:cstheme="majorBidi"/>
                <w:sz w:val="24"/>
                <w:szCs w:val="24"/>
              </w:rPr>
            </w:pPr>
          </w:p>
        </w:tc>
        <w:tc>
          <w:tcPr>
            <w:tcW w:w="1005" w:type="dxa"/>
            <w:vMerge/>
            <w:shd w:val="clear" w:color="auto" w:fill="FFFFFF"/>
          </w:tcPr>
          <w:p w:rsidR="001901F7" w:rsidRPr="00191588" w:rsidRDefault="001901F7" w:rsidP="00970A21">
            <w:pPr>
              <w:widowControl w:val="0"/>
              <w:spacing w:after="0"/>
              <w:rPr>
                <w:rFonts w:asciiTheme="majorBidi" w:hAnsiTheme="majorBidi" w:cstheme="majorBidi"/>
                <w:sz w:val="24"/>
                <w:szCs w:val="24"/>
              </w:rPr>
            </w:pPr>
          </w:p>
        </w:tc>
      </w:tr>
      <w:tr w:rsidR="001901F7" w:rsidRPr="00191588" w:rsidTr="00191588">
        <w:trPr>
          <w:cantSplit/>
          <w:trHeight w:val="279"/>
        </w:trPr>
        <w:tc>
          <w:tcPr>
            <w:tcW w:w="732" w:type="dxa"/>
            <w:vMerge w:val="restart"/>
            <w:shd w:val="clear" w:color="auto" w:fill="FFFFFF"/>
            <w:vAlign w:val="center"/>
          </w:tcPr>
          <w:p w:rsidR="001901F7" w:rsidRPr="00191588" w:rsidRDefault="001901F7" w:rsidP="00970A21">
            <w:pPr>
              <w:widowControl w:val="0"/>
              <w:spacing w:after="0"/>
              <w:rPr>
                <w:rFonts w:asciiTheme="majorBidi" w:hAnsiTheme="majorBidi" w:cstheme="majorBidi"/>
                <w:sz w:val="24"/>
                <w:szCs w:val="24"/>
              </w:rPr>
            </w:pPr>
            <w:r w:rsidRPr="00191588">
              <w:rPr>
                <w:rFonts w:asciiTheme="majorBidi" w:hAnsiTheme="majorBidi" w:cstheme="majorBidi"/>
                <w:sz w:val="24"/>
                <w:szCs w:val="24"/>
              </w:rPr>
              <w:t>1</w:t>
            </w:r>
          </w:p>
        </w:tc>
        <w:tc>
          <w:tcPr>
            <w:tcW w:w="2301" w:type="dxa"/>
            <w:shd w:val="clear" w:color="auto" w:fill="FFFFFF"/>
            <w:vAlign w:val="center"/>
          </w:tcPr>
          <w:p w:rsidR="001901F7" w:rsidRPr="00191588" w:rsidRDefault="001901F7" w:rsidP="00970A21">
            <w:pPr>
              <w:widowControl w:val="0"/>
              <w:spacing w:after="0"/>
              <w:rPr>
                <w:rFonts w:asciiTheme="majorBidi" w:hAnsiTheme="majorBidi" w:cstheme="majorBidi"/>
                <w:sz w:val="24"/>
                <w:szCs w:val="24"/>
              </w:rPr>
            </w:pPr>
            <w:r w:rsidRPr="00191588">
              <w:rPr>
                <w:rFonts w:asciiTheme="majorBidi" w:hAnsiTheme="majorBidi" w:cstheme="majorBidi"/>
                <w:sz w:val="24"/>
                <w:szCs w:val="24"/>
              </w:rPr>
              <w:t>(Constant)</w:t>
            </w:r>
          </w:p>
        </w:tc>
        <w:tc>
          <w:tcPr>
            <w:tcW w:w="1325" w:type="dxa"/>
            <w:shd w:val="clear" w:color="auto" w:fill="FFFFFF"/>
            <w:vAlign w:val="center"/>
          </w:tcPr>
          <w:p w:rsidR="001901F7" w:rsidRPr="00191588" w:rsidRDefault="001901F7"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.186</w:t>
            </w:r>
          </w:p>
        </w:tc>
        <w:tc>
          <w:tcPr>
            <w:tcW w:w="1325" w:type="dxa"/>
            <w:shd w:val="clear" w:color="auto" w:fill="FFFFFF"/>
            <w:vAlign w:val="center"/>
          </w:tcPr>
          <w:p w:rsidR="001901F7" w:rsidRPr="00191588" w:rsidRDefault="001901F7"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.232</w:t>
            </w:r>
          </w:p>
        </w:tc>
        <w:tc>
          <w:tcPr>
            <w:tcW w:w="1462" w:type="dxa"/>
            <w:shd w:val="clear" w:color="auto" w:fill="FFFFFF"/>
          </w:tcPr>
          <w:p w:rsidR="001901F7" w:rsidRPr="00191588" w:rsidRDefault="001901F7" w:rsidP="00970A21">
            <w:pPr>
              <w:widowControl w:val="0"/>
              <w:spacing w:after="0"/>
              <w:rPr>
                <w:rFonts w:asciiTheme="majorBidi" w:hAnsiTheme="majorBidi" w:cstheme="majorBidi"/>
                <w:sz w:val="24"/>
                <w:szCs w:val="24"/>
              </w:rPr>
            </w:pPr>
          </w:p>
        </w:tc>
        <w:tc>
          <w:tcPr>
            <w:tcW w:w="1005" w:type="dxa"/>
            <w:shd w:val="clear" w:color="auto" w:fill="FFFFFF"/>
            <w:vAlign w:val="center"/>
          </w:tcPr>
          <w:p w:rsidR="001901F7" w:rsidRPr="00191588" w:rsidRDefault="001901F7"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.775</w:t>
            </w:r>
          </w:p>
        </w:tc>
        <w:tc>
          <w:tcPr>
            <w:tcW w:w="1005" w:type="dxa"/>
            <w:shd w:val="clear" w:color="auto" w:fill="FFFFFF"/>
            <w:vAlign w:val="center"/>
          </w:tcPr>
          <w:p w:rsidR="001901F7" w:rsidRPr="00191588" w:rsidRDefault="001901F7"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.440</w:t>
            </w:r>
          </w:p>
        </w:tc>
      </w:tr>
      <w:tr w:rsidR="001901F7" w:rsidRPr="00191588" w:rsidTr="00191588">
        <w:trPr>
          <w:cantSplit/>
          <w:trHeight w:val="143"/>
        </w:trPr>
        <w:tc>
          <w:tcPr>
            <w:tcW w:w="732" w:type="dxa"/>
            <w:vMerge/>
            <w:shd w:val="clear" w:color="auto" w:fill="FFFFFF"/>
            <w:vAlign w:val="center"/>
          </w:tcPr>
          <w:p w:rsidR="001901F7" w:rsidRPr="00191588" w:rsidRDefault="001901F7" w:rsidP="00970A21">
            <w:pPr>
              <w:widowControl w:val="0"/>
              <w:spacing w:after="0"/>
              <w:rPr>
                <w:rFonts w:asciiTheme="majorBidi" w:hAnsiTheme="majorBidi" w:cstheme="majorBidi"/>
                <w:sz w:val="24"/>
                <w:szCs w:val="24"/>
              </w:rPr>
            </w:pPr>
          </w:p>
        </w:tc>
        <w:tc>
          <w:tcPr>
            <w:tcW w:w="2301" w:type="dxa"/>
            <w:shd w:val="clear" w:color="auto" w:fill="FFFFFF"/>
            <w:vAlign w:val="center"/>
          </w:tcPr>
          <w:p w:rsidR="001901F7" w:rsidRPr="00191588" w:rsidRDefault="001901F7" w:rsidP="00970A21">
            <w:pPr>
              <w:widowControl w:val="0"/>
              <w:spacing w:after="0"/>
              <w:rPr>
                <w:rFonts w:asciiTheme="majorBidi" w:hAnsiTheme="majorBidi" w:cstheme="majorBidi"/>
                <w:sz w:val="24"/>
                <w:szCs w:val="24"/>
              </w:rPr>
            </w:pPr>
            <w:proofErr w:type="spellStart"/>
            <w:r w:rsidRPr="00191588">
              <w:rPr>
                <w:rFonts w:asciiTheme="majorBidi" w:hAnsiTheme="majorBidi" w:cstheme="majorBidi"/>
                <w:sz w:val="24"/>
                <w:szCs w:val="24"/>
              </w:rPr>
              <w:t>Ln_Tax</w:t>
            </w:r>
            <w:proofErr w:type="spellEnd"/>
            <w:r w:rsidRPr="00191588">
              <w:rPr>
                <w:rFonts w:asciiTheme="majorBidi" w:hAnsiTheme="majorBidi" w:cstheme="majorBidi"/>
                <w:sz w:val="24"/>
                <w:szCs w:val="24"/>
              </w:rPr>
              <w:t xml:space="preserve"> Avoidance</w:t>
            </w:r>
          </w:p>
        </w:tc>
        <w:tc>
          <w:tcPr>
            <w:tcW w:w="1325" w:type="dxa"/>
            <w:shd w:val="clear" w:color="auto" w:fill="FFFFFF"/>
            <w:vAlign w:val="center"/>
          </w:tcPr>
          <w:p w:rsidR="001901F7" w:rsidRPr="00191588" w:rsidRDefault="001901F7"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-.180</w:t>
            </w:r>
          </w:p>
        </w:tc>
        <w:tc>
          <w:tcPr>
            <w:tcW w:w="1325" w:type="dxa"/>
            <w:shd w:val="clear" w:color="auto" w:fill="FFFFFF"/>
            <w:vAlign w:val="center"/>
          </w:tcPr>
          <w:p w:rsidR="001901F7" w:rsidRPr="00191588" w:rsidRDefault="001901F7"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.141</w:t>
            </w:r>
          </w:p>
        </w:tc>
        <w:tc>
          <w:tcPr>
            <w:tcW w:w="1462" w:type="dxa"/>
            <w:shd w:val="clear" w:color="auto" w:fill="FFFFFF"/>
            <w:vAlign w:val="center"/>
          </w:tcPr>
          <w:p w:rsidR="001901F7" w:rsidRPr="00191588" w:rsidRDefault="006D4662"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-.132</w:t>
            </w:r>
          </w:p>
        </w:tc>
        <w:tc>
          <w:tcPr>
            <w:tcW w:w="1005" w:type="dxa"/>
            <w:shd w:val="clear" w:color="auto" w:fill="FFFFFF"/>
            <w:vAlign w:val="center"/>
          </w:tcPr>
          <w:p w:rsidR="001901F7" w:rsidRPr="00191588" w:rsidRDefault="00A10B4A"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-1,316</w:t>
            </w:r>
          </w:p>
        </w:tc>
        <w:tc>
          <w:tcPr>
            <w:tcW w:w="1005" w:type="dxa"/>
            <w:shd w:val="clear" w:color="auto" w:fill="FFFFFF"/>
            <w:vAlign w:val="center"/>
          </w:tcPr>
          <w:p w:rsidR="001901F7" w:rsidRPr="00191588" w:rsidRDefault="001901F7" w:rsidP="00970A21">
            <w:pPr>
              <w:widowControl w:val="0"/>
              <w:spacing w:after="0"/>
              <w:jc w:val="right"/>
              <w:rPr>
                <w:rFonts w:asciiTheme="majorBidi" w:hAnsiTheme="majorBidi" w:cstheme="majorBidi"/>
                <w:sz w:val="24"/>
                <w:szCs w:val="24"/>
              </w:rPr>
            </w:pPr>
            <w:r w:rsidRPr="00191588">
              <w:rPr>
                <w:rFonts w:asciiTheme="majorBidi" w:hAnsiTheme="majorBidi" w:cstheme="majorBidi"/>
                <w:sz w:val="24"/>
                <w:szCs w:val="24"/>
              </w:rPr>
              <w:t>.191</w:t>
            </w:r>
          </w:p>
        </w:tc>
      </w:tr>
    </w:tbl>
    <w:p w:rsidR="006D4662" w:rsidRPr="00191588" w:rsidRDefault="006D4662" w:rsidP="00970A21">
      <w:pPr>
        <w:widowControl w:val="0"/>
        <w:spacing w:after="0"/>
        <w:rPr>
          <w:rFonts w:asciiTheme="majorBidi" w:hAnsiTheme="majorBidi" w:cstheme="majorBidi"/>
          <w:sz w:val="24"/>
          <w:szCs w:val="24"/>
        </w:rPr>
      </w:pPr>
      <w:r w:rsidRPr="00191588">
        <w:rPr>
          <w:rFonts w:asciiTheme="majorBidi" w:hAnsiTheme="majorBidi" w:cstheme="majorBidi"/>
          <w:sz w:val="24"/>
          <w:szCs w:val="24"/>
        </w:rPr>
        <w:t>Dependent Variable</w:t>
      </w:r>
      <w:r w:rsidR="00191588" w:rsidRPr="00191588">
        <w:rPr>
          <w:rFonts w:asciiTheme="majorBidi" w:hAnsiTheme="majorBidi" w:cstheme="majorBidi"/>
          <w:sz w:val="24"/>
          <w:szCs w:val="24"/>
        </w:rPr>
        <w:t xml:space="preserve">: </w:t>
      </w:r>
      <w:proofErr w:type="spellStart"/>
      <w:r w:rsidRPr="00191588">
        <w:rPr>
          <w:rFonts w:asciiTheme="majorBidi" w:hAnsiTheme="majorBidi" w:cstheme="majorBidi"/>
          <w:sz w:val="24"/>
          <w:szCs w:val="24"/>
        </w:rPr>
        <w:t>Ln_External</w:t>
      </w:r>
      <w:proofErr w:type="spellEnd"/>
      <w:r w:rsidRPr="00191588">
        <w:rPr>
          <w:rFonts w:asciiTheme="majorBidi" w:hAnsiTheme="majorBidi" w:cstheme="majorBidi"/>
          <w:sz w:val="24"/>
          <w:szCs w:val="24"/>
        </w:rPr>
        <w:t xml:space="preserve"> Funding</w:t>
      </w:r>
    </w:p>
    <w:p w:rsidR="00EF62D4" w:rsidRPr="00191588" w:rsidRDefault="00D83EF7" w:rsidP="00970A21">
      <w:pPr>
        <w:widowControl w:val="0"/>
        <w:spacing w:after="0"/>
        <w:rPr>
          <w:rFonts w:asciiTheme="majorBidi" w:hAnsiTheme="majorBidi" w:cstheme="majorBidi"/>
          <w:iCs/>
          <w:sz w:val="24"/>
          <w:szCs w:val="24"/>
        </w:rPr>
      </w:pPr>
      <w:r w:rsidRPr="00191588">
        <w:rPr>
          <w:rFonts w:asciiTheme="majorBidi" w:hAnsiTheme="majorBidi" w:cstheme="majorBidi"/>
          <w:iCs/>
          <w:sz w:val="24"/>
          <w:szCs w:val="24"/>
        </w:rPr>
        <w:t>Source: data processed in 2022</w:t>
      </w:r>
    </w:p>
    <w:p w:rsidR="00EF62D4" w:rsidRPr="00191588" w:rsidRDefault="00D83EF7" w:rsidP="00191588">
      <w:pPr>
        <w:widowControl w:val="0"/>
        <w:spacing w:after="0"/>
        <w:jc w:val="both"/>
        <w:rPr>
          <w:rFonts w:ascii="Times New Roman" w:hAnsi="Times New Roman" w:cs="Times New Roman"/>
          <w:sz w:val="24"/>
          <w:szCs w:val="24"/>
        </w:rPr>
      </w:pPr>
      <w:r w:rsidRPr="00191588">
        <w:rPr>
          <w:rFonts w:ascii="Times New Roman" w:hAnsi="Times New Roman" w:cs="Times New Roman"/>
          <w:sz w:val="24"/>
          <w:szCs w:val="24"/>
        </w:rPr>
        <w:t>For the t test criteria carried out at the level</w:t>
      </w:r>
      <w:r w:rsidRPr="00191588">
        <w:rPr>
          <w:rFonts w:ascii="Cambria Math" w:hAnsi="Cambria Math" w:cs="Cambria Math"/>
          <w:sz w:val="24"/>
          <w:szCs w:val="24"/>
        </w:rPr>
        <w:t>∝</w:t>
      </w:r>
      <w:r w:rsidRPr="00191588">
        <w:rPr>
          <w:rFonts w:ascii="Times New Roman" w:hAnsi="Times New Roman" w:cs="Times New Roman"/>
          <w:sz w:val="24"/>
          <w:szCs w:val="24"/>
        </w:rPr>
        <w:t xml:space="preserve">= 5% with a value of t, for n = 99, the independent variable 99-2 = 97 is 1.984. The table above shows the results of </w:t>
      </w:r>
      <w:proofErr w:type="spellStart"/>
      <w:r w:rsidRPr="00191588">
        <w:rPr>
          <w:rFonts w:ascii="Times New Roman" w:hAnsi="Times New Roman" w:cs="Times New Roman"/>
          <w:sz w:val="24"/>
          <w:szCs w:val="24"/>
        </w:rPr>
        <w:t>Tcount</w:t>
      </w:r>
      <w:proofErr w:type="spellEnd"/>
      <w:r w:rsidRPr="00191588">
        <w:rPr>
          <w:rFonts w:ascii="Times New Roman" w:hAnsi="Times New Roman" w:cs="Times New Roman"/>
          <w:sz w:val="24"/>
          <w:szCs w:val="24"/>
        </w:rPr>
        <w:t xml:space="preserve"> for variable X which is -1.316, so </w:t>
      </w:r>
      <w:proofErr w:type="spellStart"/>
      <w:r w:rsidRPr="00191588">
        <w:rPr>
          <w:rFonts w:ascii="Times New Roman" w:hAnsi="Times New Roman" w:cs="Times New Roman"/>
          <w:sz w:val="24"/>
          <w:szCs w:val="24"/>
        </w:rPr>
        <w:t>Tcount</w:t>
      </w:r>
      <w:proofErr w:type="spellEnd"/>
      <w:r w:rsidRPr="00191588">
        <w:rPr>
          <w:rFonts w:ascii="Times New Roman" w:hAnsi="Times New Roman" w:cs="Times New Roman"/>
          <w:sz w:val="24"/>
          <w:szCs w:val="24"/>
        </w:rPr>
        <w:t xml:space="preserve"> &lt;</w:t>
      </w:r>
      <w:proofErr w:type="spellStart"/>
      <w:r w:rsidRPr="00191588">
        <w:rPr>
          <w:rFonts w:ascii="Times New Roman" w:hAnsi="Times New Roman" w:cs="Times New Roman"/>
          <w:sz w:val="24"/>
          <w:szCs w:val="24"/>
        </w:rPr>
        <w:t>Ttable</w:t>
      </w:r>
      <w:proofErr w:type="spellEnd"/>
      <w:r w:rsidRPr="00191588">
        <w:rPr>
          <w:rFonts w:ascii="Times New Roman" w:hAnsi="Times New Roman" w:cs="Times New Roman"/>
          <w:sz w:val="24"/>
          <w:szCs w:val="24"/>
        </w:rPr>
        <w:t xml:space="preserve"> or -1.316 &lt;1.984, significant value 0.191 &gt; 0.05, variable X does not have a significant effect on variable Y because </w:t>
      </w:r>
      <w:proofErr w:type="spellStart"/>
      <w:r w:rsidRPr="00191588">
        <w:rPr>
          <w:rFonts w:ascii="Times New Roman" w:hAnsi="Times New Roman" w:cs="Times New Roman"/>
          <w:sz w:val="24"/>
          <w:szCs w:val="24"/>
        </w:rPr>
        <w:t>Tcount</w:t>
      </w:r>
      <w:proofErr w:type="spellEnd"/>
      <w:r w:rsidRPr="00191588">
        <w:rPr>
          <w:rFonts w:ascii="Times New Roman" w:hAnsi="Times New Roman" w:cs="Times New Roman"/>
          <w:sz w:val="24"/>
          <w:szCs w:val="24"/>
        </w:rPr>
        <w:t xml:space="preserve"> -0.180 &lt;1.985 and significant value 0.191 &gt;0.05.</w:t>
      </w:r>
    </w:p>
    <w:p w:rsidR="00EF62D4" w:rsidRPr="008515CD" w:rsidRDefault="00EF62D4" w:rsidP="00970A21">
      <w:pPr>
        <w:pStyle w:val="ListParagraph1"/>
        <w:widowControl w:val="0"/>
        <w:spacing w:after="0"/>
        <w:ind w:left="1440" w:firstLine="720"/>
        <w:contextualSpacing w:val="0"/>
        <w:rPr>
          <w:rFonts w:asciiTheme="majorBidi" w:hAnsiTheme="majorBidi" w:cstheme="majorBidi"/>
        </w:rPr>
      </w:pPr>
    </w:p>
    <w:tbl>
      <w:tblPr>
        <w:tblpPr w:leftFromText="180" w:rightFromText="180" w:vertAnchor="text" w:horzAnchor="margin" w:tblpXSpec="right" w:tblpY="447"/>
        <w:tblW w:w="5000" w:type="pct"/>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110"/>
        <w:gridCol w:w="1133"/>
        <w:gridCol w:w="1137"/>
        <w:gridCol w:w="1133"/>
        <w:gridCol w:w="1136"/>
        <w:gridCol w:w="1133"/>
        <w:gridCol w:w="1136"/>
        <w:gridCol w:w="1154"/>
      </w:tblGrid>
      <w:tr w:rsidR="00EF62D4" w:rsidRPr="00191588" w:rsidTr="00191588">
        <w:trPr>
          <w:trHeight w:val="275"/>
        </w:trPr>
        <w:tc>
          <w:tcPr>
            <w:tcW w:w="1112" w:type="dxa"/>
          </w:tcPr>
          <w:p w:rsidR="00EF62D4" w:rsidRPr="00191588" w:rsidRDefault="00D83EF7" w:rsidP="00970A21">
            <w:pPr>
              <w:pStyle w:val="TableParagraph"/>
              <w:spacing w:before="0" w:line="276" w:lineRule="auto"/>
              <w:ind w:right="90"/>
              <w:rPr>
                <w:rFonts w:ascii="Times New Roman" w:hAnsi="Times New Roman" w:cs="Times New Roman"/>
                <w:b/>
                <w:sz w:val="24"/>
                <w:szCs w:val="24"/>
              </w:rPr>
            </w:pPr>
            <w:r w:rsidRPr="00191588">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58BC98B9" wp14:editId="563BDE14">
                      <wp:simplePos x="0" y="0"/>
                      <wp:positionH relativeFrom="column">
                        <wp:posOffset>41910</wp:posOffset>
                      </wp:positionH>
                      <wp:positionV relativeFrom="paragraph">
                        <wp:posOffset>20320</wp:posOffset>
                      </wp:positionV>
                      <wp:extent cx="534670" cy="259080"/>
                      <wp:effectExtent l="0" t="0" r="17780" b="27305"/>
                      <wp:wrapNone/>
                      <wp:docPr id="2" name="Straight Connector 2"/>
                      <wp:cNvGraphicFramePr/>
                      <a:graphic xmlns:a="http://schemas.openxmlformats.org/drawingml/2006/main">
                        <a:graphicData uri="http://schemas.microsoft.com/office/word/2010/wordprocessingShape">
                          <wps:wsp>
                            <wps:cNvCnPr/>
                            <wps:spPr>
                              <a:xfrm>
                                <a:off x="0" y="0"/>
                                <a:ext cx="534837" cy="2587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3B860D"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3pt,1.6pt" to="45.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" strokecolor="black [3213]"/>
                  </w:pict>
                </mc:Fallback>
              </mc:AlternateContent>
            </w:r>
            <w:proofErr w:type="spellStart"/>
            <w:r w:rsidRPr="00191588">
              <w:rPr>
                <w:rFonts w:ascii="Times New Roman" w:hAnsi="Times New Roman" w:cs="Times New Roman"/>
                <w:b/>
                <w:sz w:val="24"/>
                <w:szCs w:val="24"/>
              </w:rPr>
              <w:t>pr</w:t>
            </w:r>
            <w:proofErr w:type="spellEnd"/>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b/>
                <w:sz w:val="24"/>
                <w:szCs w:val="24"/>
              </w:rPr>
            </w:pPr>
            <w:r w:rsidRPr="00191588">
              <w:rPr>
                <w:rFonts w:ascii="Times New Roman" w:hAnsi="Times New Roman" w:cs="Times New Roman"/>
                <w:b/>
                <w:sz w:val="24"/>
                <w:szCs w:val="24"/>
              </w:rPr>
              <w:t>0.25</w:t>
            </w:r>
          </w:p>
        </w:tc>
        <w:tc>
          <w:tcPr>
            <w:tcW w:w="1138" w:type="dxa"/>
          </w:tcPr>
          <w:p w:rsidR="00EF62D4" w:rsidRPr="00191588" w:rsidRDefault="00D83EF7" w:rsidP="00970A21">
            <w:pPr>
              <w:pStyle w:val="TableParagraph"/>
              <w:spacing w:before="0" w:line="276" w:lineRule="auto"/>
              <w:rPr>
                <w:rFonts w:ascii="Times New Roman" w:hAnsi="Times New Roman" w:cs="Times New Roman"/>
                <w:b/>
                <w:sz w:val="24"/>
                <w:szCs w:val="24"/>
              </w:rPr>
            </w:pPr>
            <w:r w:rsidRPr="00191588">
              <w:rPr>
                <w:rFonts w:ascii="Times New Roman" w:hAnsi="Times New Roman" w:cs="Times New Roman"/>
                <w:b/>
                <w:sz w:val="24"/>
                <w:szCs w:val="24"/>
              </w:rPr>
              <w:t>0.10</w:t>
            </w:r>
          </w:p>
        </w:tc>
        <w:tc>
          <w:tcPr>
            <w:tcW w:w="1134" w:type="dxa"/>
          </w:tcPr>
          <w:p w:rsidR="00EF62D4" w:rsidRPr="00191588" w:rsidRDefault="00D83EF7" w:rsidP="00970A21">
            <w:pPr>
              <w:pStyle w:val="TableParagraph"/>
              <w:spacing w:before="0" w:line="276" w:lineRule="auto"/>
              <w:ind w:right="95"/>
              <w:rPr>
                <w:rFonts w:ascii="Times New Roman" w:hAnsi="Times New Roman" w:cs="Times New Roman"/>
                <w:b/>
                <w:sz w:val="24"/>
                <w:szCs w:val="24"/>
              </w:rPr>
            </w:pPr>
            <w:r w:rsidRPr="00191588">
              <w:rPr>
                <w:rFonts w:ascii="Times New Roman" w:hAnsi="Times New Roman" w:cs="Times New Roman"/>
                <w:b/>
                <w:sz w:val="24"/>
                <w:szCs w:val="24"/>
              </w:rPr>
              <w:t>0.05</w:t>
            </w:r>
          </w:p>
        </w:tc>
        <w:tc>
          <w:tcPr>
            <w:tcW w:w="1137" w:type="dxa"/>
          </w:tcPr>
          <w:p w:rsidR="00EF62D4" w:rsidRPr="00191588" w:rsidRDefault="00D83EF7" w:rsidP="00970A21">
            <w:pPr>
              <w:pStyle w:val="TableParagraph"/>
              <w:spacing w:before="0" w:line="276" w:lineRule="auto"/>
              <w:ind w:right="97"/>
              <w:rPr>
                <w:rFonts w:ascii="Times New Roman" w:hAnsi="Times New Roman" w:cs="Times New Roman"/>
                <w:b/>
                <w:sz w:val="24"/>
                <w:szCs w:val="24"/>
              </w:rPr>
            </w:pPr>
            <w:r w:rsidRPr="00191588">
              <w:rPr>
                <w:rFonts w:ascii="Times New Roman" w:hAnsi="Times New Roman" w:cs="Times New Roman"/>
                <w:b/>
                <w:sz w:val="24"/>
                <w:szCs w:val="24"/>
              </w:rPr>
              <w:t>0.025</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b/>
                <w:sz w:val="24"/>
                <w:szCs w:val="24"/>
              </w:rPr>
            </w:pPr>
            <w:r w:rsidRPr="00191588">
              <w:rPr>
                <w:rFonts w:ascii="Times New Roman" w:hAnsi="Times New Roman" w:cs="Times New Roman"/>
                <w:b/>
                <w:sz w:val="24"/>
                <w:szCs w:val="24"/>
              </w:rPr>
              <w:t>0.01</w:t>
            </w:r>
          </w:p>
        </w:tc>
        <w:tc>
          <w:tcPr>
            <w:tcW w:w="1137" w:type="dxa"/>
          </w:tcPr>
          <w:p w:rsidR="00EF62D4" w:rsidRPr="00191588" w:rsidRDefault="00D83EF7" w:rsidP="00970A21">
            <w:pPr>
              <w:pStyle w:val="TableParagraph"/>
              <w:spacing w:before="0" w:line="276" w:lineRule="auto"/>
              <w:ind w:right="96"/>
              <w:rPr>
                <w:rFonts w:ascii="Times New Roman" w:hAnsi="Times New Roman" w:cs="Times New Roman"/>
                <w:b/>
                <w:sz w:val="24"/>
                <w:szCs w:val="24"/>
              </w:rPr>
            </w:pPr>
            <w:r w:rsidRPr="00191588">
              <w:rPr>
                <w:rFonts w:ascii="Times New Roman" w:hAnsi="Times New Roman" w:cs="Times New Roman"/>
                <w:b/>
                <w:sz w:val="24"/>
                <w:szCs w:val="24"/>
              </w:rPr>
              <w:t>0.005</w:t>
            </w:r>
          </w:p>
        </w:tc>
        <w:tc>
          <w:tcPr>
            <w:tcW w:w="1155"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0.001</w:t>
            </w:r>
          </w:p>
        </w:tc>
      </w:tr>
      <w:tr w:rsidR="00EF62D4" w:rsidRPr="00191588" w:rsidTr="00191588">
        <w:trPr>
          <w:trHeight w:val="233"/>
        </w:trPr>
        <w:tc>
          <w:tcPr>
            <w:tcW w:w="1112" w:type="dxa"/>
          </w:tcPr>
          <w:p w:rsidR="00EF62D4" w:rsidRPr="00191588" w:rsidRDefault="00D83EF7" w:rsidP="00970A21">
            <w:pPr>
              <w:pStyle w:val="TableParagraph"/>
              <w:spacing w:before="0" w:line="276" w:lineRule="auto"/>
              <w:ind w:left="107" w:right="0"/>
              <w:jc w:val="left"/>
              <w:rPr>
                <w:rFonts w:ascii="Times New Roman" w:hAnsi="Times New Roman" w:cs="Times New Roman"/>
                <w:b/>
                <w:sz w:val="24"/>
                <w:szCs w:val="24"/>
              </w:rPr>
            </w:pPr>
            <w:r w:rsidRPr="00191588">
              <w:rPr>
                <w:rFonts w:ascii="Times New Roman" w:hAnsi="Times New Roman" w:cs="Times New Roman"/>
                <w:b/>
                <w:sz w:val="24"/>
                <w:szCs w:val="24"/>
              </w:rPr>
              <w:t>Df</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b/>
                <w:sz w:val="24"/>
                <w:szCs w:val="24"/>
              </w:rPr>
            </w:pPr>
            <w:r w:rsidRPr="00191588">
              <w:rPr>
                <w:rFonts w:ascii="Times New Roman" w:hAnsi="Times New Roman" w:cs="Times New Roman"/>
                <w:b/>
                <w:sz w:val="24"/>
                <w:szCs w:val="24"/>
              </w:rPr>
              <w:t>0.50</w:t>
            </w:r>
          </w:p>
        </w:tc>
        <w:tc>
          <w:tcPr>
            <w:tcW w:w="1138" w:type="dxa"/>
          </w:tcPr>
          <w:p w:rsidR="00EF62D4" w:rsidRPr="00191588" w:rsidRDefault="00D83EF7" w:rsidP="00970A21">
            <w:pPr>
              <w:pStyle w:val="TableParagraph"/>
              <w:spacing w:before="0" w:line="276" w:lineRule="auto"/>
              <w:rPr>
                <w:rFonts w:ascii="Times New Roman" w:hAnsi="Times New Roman" w:cs="Times New Roman"/>
                <w:b/>
                <w:sz w:val="24"/>
                <w:szCs w:val="24"/>
              </w:rPr>
            </w:pPr>
            <w:r w:rsidRPr="00191588">
              <w:rPr>
                <w:rFonts w:ascii="Times New Roman" w:hAnsi="Times New Roman" w:cs="Times New Roman"/>
                <w:b/>
                <w:sz w:val="24"/>
                <w:szCs w:val="24"/>
              </w:rPr>
              <w:t>0.20</w:t>
            </w:r>
          </w:p>
        </w:tc>
        <w:tc>
          <w:tcPr>
            <w:tcW w:w="1134" w:type="dxa"/>
          </w:tcPr>
          <w:p w:rsidR="00EF62D4" w:rsidRPr="00191588" w:rsidRDefault="00D83EF7" w:rsidP="00970A21">
            <w:pPr>
              <w:pStyle w:val="TableParagraph"/>
              <w:spacing w:before="0" w:line="276" w:lineRule="auto"/>
              <w:ind w:right="95"/>
              <w:rPr>
                <w:rFonts w:ascii="Times New Roman" w:hAnsi="Times New Roman" w:cs="Times New Roman"/>
                <w:b/>
                <w:sz w:val="24"/>
                <w:szCs w:val="24"/>
              </w:rPr>
            </w:pPr>
            <w:r w:rsidRPr="00191588">
              <w:rPr>
                <w:rFonts w:ascii="Times New Roman" w:hAnsi="Times New Roman" w:cs="Times New Roman"/>
                <w:b/>
                <w:sz w:val="24"/>
                <w:szCs w:val="24"/>
              </w:rPr>
              <w:t>0.10</w:t>
            </w:r>
          </w:p>
        </w:tc>
        <w:tc>
          <w:tcPr>
            <w:tcW w:w="1137" w:type="dxa"/>
          </w:tcPr>
          <w:p w:rsidR="00EF62D4" w:rsidRPr="00191588" w:rsidRDefault="00D83EF7" w:rsidP="00970A21">
            <w:pPr>
              <w:pStyle w:val="TableParagraph"/>
              <w:spacing w:before="0" w:line="276" w:lineRule="auto"/>
              <w:ind w:right="97"/>
              <w:rPr>
                <w:rFonts w:ascii="Times New Roman" w:hAnsi="Times New Roman" w:cs="Times New Roman"/>
                <w:b/>
                <w:sz w:val="24"/>
                <w:szCs w:val="24"/>
              </w:rPr>
            </w:pPr>
            <w:r w:rsidRPr="00191588">
              <w:rPr>
                <w:rFonts w:ascii="Times New Roman" w:hAnsi="Times New Roman" w:cs="Times New Roman"/>
                <w:b/>
                <w:sz w:val="24"/>
                <w:szCs w:val="24"/>
              </w:rPr>
              <w:t>0.050</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b/>
                <w:sz w:val="24"/>
                <w:szCs w:val="24"/>
              </w:rPr>
            </w:pPr>
            <w:r w:rsidRPr="00191588">
              <w:rPr>
                <w:rFonts w:ascii="Times New Roman" w:hAnsi="Times New Roman" w:cs="Times New Roman"/>
                <w:b/>
                <w:sz w:val="24"/>
                <w:szCs w:val="24"/>
              </w:rPr>
              <w:t>0.02</w:t>
            </w:r>
          </w:p>
        </w:tc>
        <w:tc>
          <w:tcPr>
            <w:tcW w:w="1137" w:type="dxa"/>
          </w:tcPr>
          <w:p w:rsidR="00EF62D4" w:rsidRPr="00191588" w:rsidRDefault="00D83EF7" w:rsidP="00970A21">
            <w:pPr>
              <w:pStyle w:val="TableParagraph"/>
              <w:spacing w:before="0" w:line="276" w:lineRule="auto"/>
              <w:ind w:right="96"/>
              <w:rPr>
                <w:rFonts w:ascii="Times New Roman" w:hAnsi="Times New Roman" w:cs="Times New Roman"/>
                <w:b/>
                <w:sz w:val="24"/>
                <w:szCs w:val="24"/>
              </w:rPr>
            </w:pPr>
            <w:r w:rsidRPr="00191588">
              <w:rPr>
                <w:rFonts w:ascii="Times New Roman" w:hAnsi="Times New Roman" w:cs="Times New Roman"/>
                <w:b/>
                <w:sz w:val="24"/>
                <w:szCs w:val="24"/>
              </w:rPr>
              <w:t>0.010</w:t>
            </w:r>
          </w:p>
        </w:tc>
        <w:tc>
          <w:tcPr>
            <w:tcW w:w="1155"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0.002</w:t>
            </w:r>
          </w:p>
        </w:tc>
      </w:tr>
      <w:tr w:rsidR="00EF62D4" w:rsidRPr="00191588" w:rsidTr="00191588">
        <w:trPr>
          <w:trHeight w:val="278"/>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81</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0.67753</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1.29209</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1.66388</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1.98969</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2.37327</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2.63790</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3.19392</w:t>
            </w:r>
          </w:p>
        </w:tc>
      </w:tr>
      <w:tr w:rsidR="00EF62D4" w:rsidRPr="00191588" w:rsidTr="00191588">
        <w:trPr>
          <w:trHeight w:val="249"/>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82</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0.67749</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1.29196</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1.66365</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1.98932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2.37269</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2.63712</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3.19262</w:t>
            </w:r>
          </w:p>
        </w:tc>
      </w:tr>
      <w:tr w:rsidR="00EF62D4" w:rsidRPr="00191588" w:rsidTr="00191588">
        <w:trPr>
          <w:trHeight w:val="254"/>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83</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0.67746</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1.29183</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1.66342</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1.98896</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2.37212</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2.63637</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3.19135</w:t>
            </w:r>
          </w:p>
        </w:tc>
      </w:tr>
      <w:tr w:rsidR="00EF62D4" w:rsidRPr="00191588" w:rsidTr="00191588">
        <w:trPr>
          <w:trHeight w:val="256"/>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84</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0.67742</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1.29171</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1.66320</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1.98861</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2.37156</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2.63563</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3.19011</w:t>
            </w:r>
          </w:p>
        </w:tc>
      </w:tr>
      <w:tr w:rsidR="00EF62D4" w:rsidRPr="00191588" w:rsidTr="00191588">
        <w:trPr>
          <w:trHeight w:val="255"/>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85</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0.67739</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1.29159</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1.66298</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1.98827</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2.37102</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2.63491</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3.18890</w:t>
            </w:r>
          </w:p>
        </w:tc>
      </w:tr>
      <w:tr w:rsidR="00EF62D4" w:rsidRPr="00191588" w:rsidTr="00191588">
        <w:trPr>
          <w:trHeight w:val="253"/>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86</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0.67735</w:t>
            </w:r>
          </w:p>
        </w:tc>
        <w:tc>
          <w:tcPr>
            <w:tcW w:w="1138" w:type="dxa"/>
          </w:tcPr>
          <w:p w:rsidR="00EF62D4" w:rsidRPr="00191588" w:rsidRDefault="00D83EF7" w:rsidP="00970A21">
            <w:pPr>
              <w:pStyle w:val="TableParagraph"/>
              <w:spacing w:before="0" w:line="276" w:lineRule="auto"/>
              <w:ind w:right="103"/>
              <w:rPr>
                <w:rFonts w:ascii="Times New Roman" w:hAnsi="Times New Roman" w:cs="Times New Roman"/>
                <w:sz w:val="24"/>
                <w:szCs w:val="24"/>
              </w:rPr>
            </w:pPr>
            <w:r w:rsidRPr="00191588">
              <w:rPr>
                <w:rFonts w:ascii="Times New Roman" w:hAnsi="Times New Roman" w:cs="Times New Roman"/>
                <w:sz w:val="24"/>
                <w:szCs w:val="24"/>
              </w:rPr>
              <w:t>1.29147</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1.66277</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1.98793</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2.37049</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2.63421</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3.18772</w:t>
            </w:r>
          </w:p>
        </w:tc>
      </w:tr>
      <w:tr w:rsidR="00EF62D4" w:rsidRPr="00191588" w:rsidTr="00191588">
        <w:trPr>
          <w:trHeight w:val="254"/>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87</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0.67732</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1.29136</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1.66256</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1.98761</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2.36998</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2.63353</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3.18657</w:t>
            </w:r>
          </w:p>
        </w:tc>
      </w:tr>
      <w:tr w:rsidR="00EF62D4" w:rsidRPr="00191588" w:rsidTr="00191588">
        <w:trPr>
          <w:trHeight w:val="257"/>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88</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0.67729</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1.29125</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1.66235</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1.98729</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2.36947</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2.63286</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3.18544</w:t>
            </w:r>
          </w:p>
        </w:tc>
      </w:tr>
      <w:tr w:rsidR="00EF62D4" w:rsidRPr="00191588" w:rsidTr="00191588">
        <w:trPr>
          <w:trHeight w:val="255"/>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89</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0.67726</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1.29114</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1.66216</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1.98698</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2.36898</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2.63220</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3.18434</w:t>
            </w:r>
          </w:p>
        </w:tc>
      </w:tr>
      <w:tr w:rsidR="00EF62D4" w:rsidRPr="00191588" w:rsidTr="00191588">
        <w:trPr>
          <w:trHeight w:val="254"/>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90</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0.67723</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1.29103</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1.66196</w:t>
            </w:r>
          </w:p>
        </w:tc>
        <w:tc>
          <w:tcPr>
            <w:tcW w:w="1137" w:type="dxa"/>
          </w:tcPr>
          <w:p w:rsidR="00EF62D4" w:rsidRPr="00191588" w:rsidRDefault="00D83EF7" w:rsidP="00970A21">
            <w:pPr>
              <w:pStyle w:val="TableParagraph"/>
              <w:spacing w:before="0" w:line="276" w:lineRule="auto"/>
              <w:ind w:right="103"/>
              <w:rPr>
                <w:rFonts w:ascii="Times New Roman" w:hAnsi="Times New Roman" w:cs="Times New Roman"/>
                <w:sz w:val="24"/>
                <w:szCs w:val="24"/>
              </w:rPr>
            </w:pPr>
            <w:r w:rsidRPr="00191588">
              <w:rPr>
                <w:rFonts w:ascii="Times New Roman" w:hAnsi="Times New Roman" w:cs="Times New Roman"/>
                <w:sz w:val="24"/>
                <w:szCs w:val="24"/>
              </w:rPr>
              <w:t>1.98667</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2.36850</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2.63157</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3.18327</w:t>
            </w:r>
          </w:p>
        </w:tc>
      </w:tr>
      <w:tr w:rsidR="00EF62D4" w:rsidRPr="00191588" w:rsidTr="00191588">
        <w:trPr>
          <w:trHeight w:val="255"/>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91</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0.67720</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1.29092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1.66177</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1.98638</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2.36803</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2.63094</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3.18222</w:t>
            </w:r>
          </w:p>
        </w:tc>
      </w:tr>
      <w:tr w:rsidR="00EF62D4" w:rsidRPr="00191588" w:rsidTr="00191588">
        <w:trPr>
          <w:trHeight w:val="256"/>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92</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0.67717</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1.29082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1.66159</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1.98609</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2.36757</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2.63033</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3.18119</w:t>
            </w:r>
          </w:p>
        </w:tc>
      </w:tr>
      <w:tr w:rsidR="00EF62D4" w:rsidRPr="00191588" w:rsidTr="00191588">
        <w:trPr>
          <w:trHeight w:val="254"/>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93</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0.67714</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1.29072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1.66140</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1.98580</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2.36712</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2.62973</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3.18019</w:t>
            </w:r>
          </w:p>
        </w:tc>
      </w:tr>
      <w:tr w:rsidR="00EF62D4" w:rsidRPr="00191588" w:rsidTr="00191588">
        <w:trPr>
          <w:trHeight w:val="253"/>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94</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0.67711</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1.29062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1.66123</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1.98552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2.36667</w:t>
            </w:r>
          </w:p>
        </w:tc>
        <w:tc>
          <w:tcPr>
            <w:tcW w:w="1137" w:type="dxa"/>
          </w:tcPr>
          <w:p w:rsidR="00EF62D4" w:rsidRPr="00191588" w:rsidRDefault="00D83EF7" w:rsidP="00970A21">
            <w:pPr>
              <w:pStyle w:val="TableParagraph"/>
              <w:spacing w:before="0" w:line="276" w:lineRule="auto"/>
              <w:ind w:right="104"/>
              <w:rPr>
                <w:rFonts w:ascii="Times New Roman" w:hAnsi="Times New Roman" w:cs="Times New Roman"/>
                <w:sz w:val="24"/>
                <w:szCs w:val="24"/>
              </w:rPr>
            </w:pPr>
            <w:r w:rsidRPr="00191588">
              <w:rPr>
                <w:rFonts w:ascii="Times New Roman" w:hAnsi="Times New Roman" w:cs="Times New Roman"/>
                <w:sz w:val="24"/>
                <w:szCs w:val="24"/>
              </w:rPr>
              <w:t>2.62915</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3.17921</w:t>
            </w:r>
          </w:p>
        </w:tc>
      </w:tr>
      <w:tr w:rsidR="00EF62D4" w:rsidRPr="00191588" w:rsidTr="00191588">
        <w:trPr>
          <w:trHeight w:val="255"/>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95</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0.67708</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1.29053</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1.66105</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1.98525</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2.36624</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2.62858</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3.17825</w:t>
            </w:r>
          </w:p>
        </w:tc>
      </w:tr>
      <w:tr w:rsidR="00EF62D4" w:rsidRPr="00191588" w:rsidTr="00191588">
        <w:trPr>
          <w:trHeight w:val="256"/>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96</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0.67705</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1.29043</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1.66088</w:t>
            </w:r>
          </w:p>
        </w:tc>
        <w:tc>
          <w:tcPr>
            <w:tcW w:w="1137" w:type="dxa"/>
          </w:tcPr>
          <w:p w:rsidR="00EF62D4" w:rsidRPr="00191588" w:rsidRDefault="00D6690D"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1C37C2F" wp14:editId="537FE586">
                      <wp:simplePos x="0" y="0"/>
                      <wp:positionH relativeFrom="column">
                        <wp:posOffset>102154</wp:posOffset>
                      </wp:positionH>
                      <wp:positionV relativeFrom="paragraph">
                        <wp:posOffset>153589</wp:posOffset>
                      </wp:positionV>
                      <wp:extent cx="593363" cy="237432"/>
                      <wp:effectExtent l="0" t="0" r="16510" b="10795"/>
                      <wp:wrapNone/>
                      <wp:docPr id="10" name="Oval 10"/>
                      <wp:cNvGraphicFramePr/>
                      <a:graphic xmlns:a="http://schemas.openxmlformats.org/drawingml/2006/main">
                        <a:graphicData uri="http://schemas.microsoft.com/office/word/2010/wordprocessingShape">
                          <wps:wsp>
                            <wps:cNvSpPr/>
                            <wps:spPr>
                              <a:xfrm>
                                <a:off x="0" y="0"/>
                                <a:ext cx="593363" cy="237432"/>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5098C" id="Oval 10" o:spid="_x0000_s1026" style="position:absolute;margin-left:8.05pt;margin-top:12.1pt;width:46.7pt;height:1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" filled="f" strokecolor="red" strokeweight="2pt"/>
                  </w:pict>
                </mc:Fallback>
              </mc:AlternateContent>
            </w:r>
            <w:r w:rsidR="00D83EF7" w:rsidRPr="00191588">
              <w:rPr>
                <w:rFonts w:ascii="Times New Roman" w:hAnsi="Times New Roman" w:cs="Times New Roman"/>
                <w:sz w:val="24"/>
                <w:szCs w:val="24"/>
              </w:rPr>
              <w:t>1.98498</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2.36582</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2.62802</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3.17731</w:t>
            </w:r>
          </w:p>
        </w:tc>
      </w:tr>
      <w:tr w:rsidR="00EF62D4" w:rsidRPr="00191588" w:rsidTr="00191588">
        <w:trPr>
          <w:trHeight w:val="254"/>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97</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0.67703</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1.29034</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1.66071</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1.98472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2.36541</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2.62747</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3.17639</w:t>
            </w:r>
          </w:p>
        </w:tc>
      </w:tr>
      <w:tr w:rsidR="00EF62D4" w:rsidRPr="00191588" w:rsidTr="00191588">
        <w:trPr>
          <w:trHeight w:val="253"/>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98</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0.67700</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1.29025</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1.66055</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1.98447</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2.36500</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2.62693</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3.17549</w:t>
            </w:r>
          </w:p>
        </w:tc>
      </w:tr>
      <w:tr w:rsidR="00EF62D4" w:rsidRPr="00191588" w:rsidTr="00191588">
        <w:trPr>
          <w:trHeight w:val="255"/>
        </w:trPr>
        <w:tc>
          <w:tcPr>
            <w:tcW w:w="1112" w:type="dxa"/>
          </w:tcPr>
          <w:p w:rsidR="00EF62D4" w:rsidRPr="00191588" w:rsidRDefault="00D83EF7" w:rsidP="00970A21">
            <w:pPr>
              <w:pStyle w:val="TableParagraph"/>
              <w:spacing w:before="0" w:line="276" w:lineRule="auto"/>
              <w:ind w:right="93"/>
              <w:rPr>
                <w:rFonts w:ascii="Times New Roman" w:hAnsi="Times New Roman" w:cs="Times New Roman"/>
                <w:b/>
                <w:sz w:val="24"/>
                <w:szCs w:val="24"/>
              </w:rPr>
            </w:pPr>
            <w:r w:rsidRPr="00191588">
              <w:rPr>
                <w:rFonts w:ascii="Times New Roman" w:hAnsi="Times New Roman" w:cs="Times New Roman"/>
                <w:b/>
                <w:sz w:val="24"/>
                <w:szCs w:val="24"/>
              </w:rPr>
              <w:t>99</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0.67698</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1.29016</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1.66039</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1.98422</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2.36461</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2.62641</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3.17460</w:t>
            </w:r>
          </w:p>
        </w:tc>
      </w:tr>
      <w:tr w:rsidR="00EF62D4" w:rsidRPr="00191588" w:rsidTr="00191588">
        <w:trPr>
          <w:trHeight w:val="256"/>
        </w:trPr>
        <w:tc>
          <w:tcPr>
            <w:tcW w:w="1112" w:type="dxa"/>
          </w:tcPr>
          <w:p w:rsidR="00EF62D4" w:rsidRPr="00191588" w:rsidRDefault="00D83EF7" w:rsidP="00970A21">
            <w:pPr>
              <w:pStyle w:val="TableParagraph"/>
              <w:spacing w:before="0" w:line="276" w:lineRule="auto"/>
              <w:ind w:right="96"/>
              <w:rPr>
                <w:rFonts w:ascii="Times New Roman" w:hAnsi="Times New Roman" w:cs="Times New Roman"/>
                <w:b/>
                <w:sz w:val="24"/>
                <w:szCs w:val="24"/>
              </w:rPr>
            </w:pPr>
            <w:r w:rsidRPr="00191588">
              <w:rPr>
                <w:rFonts w:ascii="Times New Roman" w:hAnsi="Times New Roman" w:cs="Times New Roman"/>
                <w:b/>
                <w:sz w:val="24"/>
                <w:szCs w:val="24"/>
              </w:rPr>
              <w:t>100</w:t>
            </w:r>
          </w:p>
        </w:tc>
        <w:tc>
          <w:tcPr>
            <w:tcW w:w="1135" w:type="dxa"/>
          </w:tcPr>
          <w:p w:rsidR="00EF62D4" w:rsidRPr="00191588" w:rsidRDefault="00D83EF7" w:rsidP="00970A21">
            <w:pPr>
              <w:pStyle w:val="TableParagraph"/>
              <w:spacing w:before="0" w:line="276" w:lineRule="auto"/>
              <w:ind w:right="97"/>
              <w:rPr>
                <w:rFonts w:ascii="Times New Roman" w:hAnsi="Times New Roman" w:cs="Times New Roman"/>
                <w:sz w:val="24"/>
                <w:szCs w:val="24"/>
              </w:rPr>
            </w:pPr>
            <w:r w:rsidRPr="00191588">
              <w:rPr>
                <w:rFonts w:ascii="Times New Roman" w:hAnsi="Times New Roman" w:cs="Times New Roman"/>
                <w:sz w:val="24"/>
                <w:szCs w:val="24"/>
              </w:rPr>
              <w:t>0.67695</w:t>
            </w:r>
          </w:p>
        </w:tc>
        <w:tc>
          <w:tcPr>
            <w:tcW w:w="1138"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1.29007</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1.66023</w:t>
            </w:r>
          </w:p>
        </w:tc>
        <w:tc>
          <w:tcPr>
            <w:tcW w:w="1137" w:type="dxa"/>
          </w:tcPr>
          <w:p w:rsidR="00EF62D4" w:rsidRPr="00191588" w:rsidRDefault="00D83EF7" w:rsidP="00970A21">
            <w:pPr>
              <w:pStyle w:val="TableParagraph"/>
              <w:spacing w:before="0" w:line="276" w:lineRule="auto"/>
              <w:rPr>
                <w:rFonts w:ascii="Times New Roman" w:hAnsi="Times New Roman" w:cs="Times New Roman"/>
                <w:sz w:val="24"/>
                <w:szCs w:val="24"/>
              </w:rPr>
            </w:pPr>
            <w:r w:rsidRPr="00191588">
              <w:rPr>
                <w:rFonts w:ascii="Times New Roman" w:hAnsi="Times New Roman" w:cs="Times New Roman"/>
                <w:sz w:val="24"/>
                <w:szCs w:val="24"/>
              </w:rPr>
              <w:t>1.98397</w:t>
            </w:r>
          </w:p>
        </w:tc>
        <w:tc>
          <w:tcPr>
            <w:tcW w:w="1134" w:type="dxa"/>
          </w:tcPr>
          <w:p w:rsidR="00EF62D4" w:rsidRPr="00191588" w:rsidRDefault="00D83EF7" w:rsidP="00970A21">
            <w:pPr>
              <w:pStyle w:val="TableParagraph"/>
              <w:spacing w:before="0" w:line="276" w:lineRule="auto"/>
              <w:ind w:right="99"/>
              <w:rPr>
                <w:rFonts w:ascii="Times New Roman" w:hAnsi="Times New Roman" w:cs="Times New Roman"/>
                <w:sz w:val="24"/>
                <w:szCs w:val="24"/>
              </w:rPr>
            </w:pPr>
            <w:r w:rsidRPr="00191588">
              <w:rPr>
                <w:rFonts w:ascii="Times New Roman" w:hAnsi="Times New Roman" w:cs="Times New Roman"/>
                <w:sz w:val="24"/>
                <w:szCs w:val="24"/>
              </w:rPr>
              <w:t>2.36422</w:t>
            </w:r>
          </w:p>
        </w:tc>
        <w:tc>
          <w:tcPr>
            <w:tcW w:w="1137" w:type="dxa"/>
          </w:tcPr>
          <w:p w:rsidR="00EF62D4" w:rsidRPr="00191588" w:rsidRDefault="00D83EF7" w:rsidP="00970A21">
            <w:pPr>
              <w:pStyle w:val="TableParagraph"/>
              <w:spacing w:before="0" w:line="276" w:lineRule="auto"/>
              <w:ind w:right="101"/>
              <w:rPr>
                <w:rFonts w:ascii="Times New Roman" w:hAnsi="Times New Roman" w:cs="Times New Roman"/>
                <w:sz w:val="24"/>
                <w:szCs w:val="24"/>
              </w:rPr>
            </w:pPr>
            <w:r w:rsidRPr="00191588">
              <w:rPr>
                <w:rFonts w:ascii="Times New Roman" w:hAnsi="Times New Roman" w:cs="Times New Roman"/>
                <w:sz w:val="24"/>
                <w:szCs w:val="24"/>
              </w:rPr>
              <w:t>2.62589</w:t>
            </w:r>
          </w:p>
        </w:tc>
        <w:tc>
          <w:tcPr>
            <w:tcW w:w="1155" w:type="dxa"/>
          </w:tcPr>
          <w:p w:rsidR="00EF62D4" w:rsidRPr="00191588" w:rsidRDefault="00D83EF7" w:rsidP="00970A21">
            <w:pPr>
              <w:pStyle w:val="TableParagraph"/>
              <w:spacing w:before="0" w:line="276" w:lineRule="auto"/>
              <w:ind w:right="95"/>
              <w:rPr>
                <w:rFonts w:ascii="Times New Roman" w:hAnsi="Times New Roman" w:cs="Times New Roman"/>
                <w:sz w:val="24"/>
                <w:szCs w:val="24"/>
              </w:rPr>
            </w:pPr>
            <w:r w:rsidRPr="00191588">
              <w:rPr>
                <w:rFonts w:ascii="Times New Roman" w:hAnsi="Times New Roman" w:cs="Times New Roman"/>
                <w:sz w:val="24"/>
                <w:szCs w:val="24"/>
              </w:rPr>
              <w:t>3.17374</w:t>
            </w:r>
          </w:p>
        </w:tc>
      </w:tr>
    </w:tbl>
    <w:p w:rsidR="00191588" w:rsidRPr="00191588" w:rsidRDefault="00191588" w:rsidP="00191588">
      <w:pPr>
        <w:pStyle w:val="ListParagraph1"/>
        <w:widowControl w:val="0"/>
        <w:spacing w:after="0" w:line="240" w:lineRule="auto"/>
        <w:ind w:left="0"/>
        <w:contextualSpacing w:val="0"/>
        <w:jc w:val="center"/>
        <w:rPr>
          <w:rFonts w:asciiTheme="majorBidi" w:hAnsiTheme="majorBidi" w:cstheme="majorBidi"/>
          <w:b/>
          <w:sz w:val="24"/>
          <w:lang w:val="id-ID"/>
        </w:rPr>
      </w:pPr>
      <w:r w:rsidRPr="00191588">
        <w:rPr>
          <w:rFonts w:asciiTheme="majorBidi" w:hAnsiTheme="majorBidi" w:cstheme="majorBidi"/>
          <w:b/>
          <w:sz w:val="24"/>
        </w:rPr>
        <w:t xml:space="preserve">Table 11. </w:t>
      </w:r>
      <w:r w:rsidRPr="00191588">
        <w:rPr>
          <w:rFonts w:asciiTheme="majorBidi" w:hAnsiTheme="majorBidi" w:cstheme="majorBidi"/>
          <w:sz w:val="24"/>
        </w:rPr>
        <w:t>Point Percentage Distribution t</w:t>
      </w:r>
    </w:p>
    <w:p w:rsidR="00EF62D4" w:rsidRDefault="00EF62D4" w:rsidP="00970A21">
      <w:pPr>
        <w:widowControl w:val="0"/>
        <w:spacing w:after="0"/>
        <w:rPr>
          <w:rFonts w:asciiTheme="majorBidi" w:hAnsiTheme="majorBidi" w:cstheme="majorBidi"/>
          <w:b/>
        </w:rPr>
      </w:pPr>
    </w:p>
    <w:p w:rsidR="00045915" w:rsidRPr="008515CD" w:rsidRDefault="00045915" w:rsidP="00970A21">
      <w:pPr>
        <w:widowControl w:val="0"/>
        <w:spacing w:after="0"/>
        <w:rPr>
          <w:rFonts w:asciiTheme="majorBidi" w:hAnsiTheme="majorBidi" w:cstheme="majorBidi"/>
          <w:b/>
        </w:rPr>
      </w:pPr>
    </w:p>
    <w:p w:rsidR="00EF62D4" w:rsidRPr="00ED40FB" w:rsidRDefault="00D83EF7" w:rsidP="00ED40FB">
      <w:pPr>
        <w:pStyle w:val="Bab4Heading2"/>
        <w:spacing w:before="120" w:after="0" w:line="276" w:lineRule="auto"/>
        <w:ind w:left="360"/>
        <w:rPr>
          <w:rFonts w:asciiTheme="majorBidi" w:hAnsiTheme="majorBidi" w:cstheme="majorBidi"/>
          <w:sz w:val="24"/>
          <w:szCs w:val="24"/>
        </w:rPr>
      </w:pPr>
      <w:bookmarkStart w:id="9" w:name="_Toc109907795"/>
      <w:r w:rsidRPr="00ED40FB">
        <w:rPr>
          <w:rFonts w:asciiTheme="majorBidi" w:hAnsiTheme="majorBidi" w:cstheme="majorBidi"/>
          <w:sz w:val="24"/>
          <w:szCs w:val="24"/>
        </w:rPr>
        <w:lastRenderedPageBreak/>
        <w:t>Discussion</w:t>
      </w:r>
      <w:bookmarkEnd w:id="9"/>
    </w:p>
    <w:p w:rsidR="00EF62D4" w:rsidRPr="00ED40FB" w:rsidRDefault="00D83EF7" w:rsidP="00ED40FB">
      <w:pPr>
        <w:widowControl w:val="0"/>
        <w:spacing w:before="120" w:after="0"/>
        <w:jc w:val="both"/>
        <w:rPr>
          <w:rFonts w:asciiTheme="majorBidi" w:eastAsia="Arial" w:hAnsiTheme="majorBidi" w:cstheme="majorBidi"/>
          <w:color w:val="000000"/>
          <w:sz w:val="24"/>
          <w:szCs w:val="24"/>
        </w:rPr>
      </w:pPr>
      <w:r w:rsidRPr="00ED40FB">
        <w:rPr>
          <w:rFonts w:asciiTheme="majorBidi" w:eastAsia="Arial" w:hAnsiTheme="majorBidi" w:cstheme="majorBidi"/>
          <w:color w:val="000000"/>
          <w:sz w:val="24"/>
          <w:szCs w:val="24"/>
        </w:rPr>
        <w:t>Based on the research results that have been presented in statistical form, it is necessary to carry out a more in-depth analysis in order to obtain a more comprehensive picture of the research. Therefore, in the following, we will discuss in full the results of the hypothesis test.</w:t>
      </w:r>
    </w:p>
    <w:p w:rsidR="00ED40FB" w:rsidRPr="00ED40FB" w:rsidRDefault="00D83EF7" w:rsidP="00ED40FB">
      <w:pPr>
        <w:widowControl w:val="0"/>
        <w:spacing w:before="120" w:after="0"/>
        <w:jc w:val="both"/>
        <w:rPr>
          <w:rFonts w:asciiTheme="majorBidi" w:eastAsia="Arial" w:hAnsiTheme="majorBidi" w:cstheme="majorBidi"/>
          <w:color w:val="000000"/>
          <w:sz w:val="24"/>
          <w:szCs w:val="24"/>
        </w:rPr>
      </w:pPr>
      <w:r w:rsidRPr="00ED40FB">
        <w:rPr>
          <w:rFonts w:asciiTheme="majorBidi" w:eastAsia="Arial" w:hAnsiTheme="majorBidi" w:cstheme="majorBidi"/>
          <w:color w:val="000000"/>
          <w:sz w:val="24"/>
          <w:szCs w:val="24"/>
        </w:rPr>
        <w:t>Tax avoidance is considered as an activity to transfer wealth from the state to corporations (Kim et al., 2010). In other words, tax evasion is a legal action for taxpayers by exploiting weaknesses in tax provisions to save on paying the tax burden so that the company achieves the targeted profit. (</w:t>
      </w:r>
      <w:proofErr w:type="spellStart"/>
      <w:r w:rsidRPr="00ED40FB">
        <w:rPr>
          <w:rFonts w:asciiTheme="majorBidi" w:eastAsia="Arial" w:hAnsiTheme="majorBidi" w:cstheme="majorBidi"/>
          <w:color w:val="000000"/>
          <w:sz w:val="24"/>
          <w:szCs w:val="24"/>
        </w:rPr>
        <w:t>Ritonga</w:t>
      </w:r>
      <w:proofErr w:type="spellEnd"/>
      <w:r w:rsidRPr="00ED40FB">
        <w:rPr>
          <w:rFonts w:asciiTheme="majorBidi" w:eastAsia="Arial" w:hAnsiTheme="majorBidi" w:cstheme="majorBidi"/>
          <w:color w:val="000000"/>
          <w:sz w:val="24"/>
          <w:szCs w:val="24"/>
        </w:rPr>
        <w:t>, 2020).</w:t>
      </w:r>
    </w:p>
    <w:p w:rsidR="00EF62D4" w:rsidRPr="00ED40FB" w:rsidRDefault="00D83EF7" w:rsidP="00ED40FB">
      <w:pPr>
        <w:widowControl w:val="0"/>
        <w:spacing w:before="120" w:after="0"/>
        <w:jc w:val="both"/>
        <w:rPr>
          <w:rFonts w:asciiTheme="majorBidi" w:eastAsia="Arial" w:hAnsiTheme="majorBidi" w:cstheme="majorBidi"/>
          <w:color w:val="000000"/>
          <w:sz w:val="24"/>
          <w:szCs w:val="24"/>
        </w:rPr>
      </w:pPr>
      <w:r w:rsidRPr="00ED40FB">
        <w:rPr>
          <w:rFonts w:asciiTheme="majorBidi" w:eastAsia="Arial" w:hAnsiTheme="majorBidi" w:cstheme="majorBidi"/>
          <w:color w:val="000000"/>
          <w:sz w:val="24"/>
          <w:szCs w:val="24"/>
        </w:rPr>
        <w:t xml:space="preserve">Tax avoidance is related to the process of selecting one or more alternative external funding that is considered beneficial for the company. Tax avoidance is proxied by the cash effective tax rate (Cash ETR). Tax evasion is carried out to reduce profit before tax by committing debt so that a debt burden arises, so with a high amount of expenses it can be said that net profit before tax will be low, of course the tax burden that will be paid is small. </w:t>
      </w:r>
      <w:proofErr w:type="gramStart"/>
      <w:r w:rsidRPr="00ED40FB">
        <w:rPr>
          <w:rFonts w:asciiTheme="majorBidi" w:eastAsia="Arial" w:hAnsiTheme="majorBidi" w:cstheme="majorBidi"/>
          <w:color w:val="000000"/>
          <w:sz w:val="24"/>
          <w:szCs w:val="24"/>
        </w:rPr>
        <w:t>So</w:t>
      </w:r>
      <w:proofErr w:type="gramEnd"/>
      <w:r w:rsidRPr="00ED40FB">
        <w:rPr>
          <w:rFonts w:asciiTheme="majorBidi" w:eastAsia="Arial" w:hAnsiTheme="majorBidi" w:cstheme="majorBidi"/>
          <w:color w:val="000000"/>
          <w:sz w:val="24"/>
          <w:szCs w:val="24"/>
        </w:rPr>
        <w:t xml:space="preserve"> the greater the number of DER, that is, above 1 company has a large amount of debt and vice versa if the number of DER is below 1 company has less debt.</w:t>
      </w:r>
    </w:p>
    <w:p w:rsidR="00EF62D4" w:rsidRPr="00ED40FB" w:rsidRDefault="00D83EF7" w:rsidP="00ED40FB">
      <w:pPr>
        <w:widowControl w:val="0"/>
        <w:spacing w:before="120" w:after="0"/>
        <w:jc w:val="both"/>
        <w:rPr>
          <w:rFonts w:asciiTheme="majorBidi" w:eastAsia="Arial" w:hAnsiTheme="majorBidi" w:cstheme="majorBidi"/>
          <w:color w:val="000000"/>
          <w:sz w:val="24"/>
          <w:szCs w:val="24"/>
        </w:rPr>
      </w:pPr>
      <w:r w:rsidRPr="00ED40FB">
        <w:rPr>
          <w:rFonts w:asciiTheme="majorBidi" w:eastAsia="Arial" w:hAnsiTheme="majorBidi" w:cstheme="majorBidi"/>
          <w:color w:val="000000"/>
          <w:sz w:val="24"/>
          <w:szCs w:val="24"/>
        </w:rPr>
        <w:t>The results of the above equation can be translated as a constant of 0.186 which means that the consistency value of the external funding variable is 0.186, the regression coefficient of the tax avoidance variable is -0.180 which states that the direction of the effect of tax avoidance is negative.</w:t>
      </w:r>
    </w:p>
    <w:p w:rsidR="00EF62D4" w:rsidRPr="00ED40FB" w:rsidRDefault="00D83EF7" w:rsidP="00ED40FB">
      <w:pPr>
        <w:widowControl w:val="0"/>
        <w:spacing w:before="120" w:after="0"/>
        <w:jc w:val="both"/>
        <w:rPr>
          <w:rFonts w:asciiTheme="majorBidi" w:eastAsia="Arial" w:hAnsiTheme="majorBidi" w:cstheme="majorBidi"/>
          <w:color w:val="000000"/>
          <w:sz w:val="24"/>
          <w:szCs w:val="24"/>
        </w:rPr>
      </w:pPr>
      <w:r w:rsidRPr="00ED40FB">
        <w:rPr>
          <w:rFonts w:asciiTheme="majorBidi" w:eastAsia="Arial" w:hAnsiTheme="majorBidi" w:cstheme="majorBidi"/>
          <w:color w:val="000000"/>
          <w:sz w:val="24"/>
          <w:szCs w:val="24"/>
        </w:rPr>
        <w:t>The negative value in the results of the simple regression analysis that has been done indicates that if the value of tax avoidance increases, then the value of external funding decreases. Vice versa, if the value of tax avoidance decreases, then the value of external funding increases.</w:t>
      </w:r>
    </w:p>
    <w:p w:rsidR="00EF62D4" w:rsidRPr="00ED40FB" w:rsidRDefault="00D83EF7" w:rsidP="00ED40FB">
      <w:pPr>
        <w:widowControl w:val="0"/>
        <w:spacing w:before="120" w:after="0"/>
        <w:jc w:val="both"/>
        <w:rPr>
          <w:rFonts w:asciiTheme="majorBidi" w:hAnsiTheme="majorBidi" w:cstheme="majorBidi"/>
          <w:sz w:val="24"/>
          <w:szCs w:val="24"/>
        </w:rPr>
      </w:pPr>
      <w:r w:rsidRPr="00ED40FB">
        <w:rPr>
          <w:rFonts w:asciiTheme="majorBidi" w:eastAsia="Arial" w:hAnsiTheme="majorBidi" w:cstheme="majorBidi"/>
          <w:color w:val="000000"/>
          <w:sz w:val="24"/>
          <w:szCs w:val="24"/>
        </w:rPr>
        <w:t xml:space="preserve">Based on the results of research that has been done, it shows that the value of </w:t>
      </w:r>
      <w:proofErr w:type="spellStart"/>
      <w:r w:rsidRPr="00ED40FB">
        <w:rPr>
          <w:rFonts w:asciiTheme="majorBidi" w:eastAsia="Arial" w:hAnsiTheme="majorBidi" w:cstheme="majorBidi"/>
          <w:color w:val="000000"/>
          <w:sz w:val="24"/>
          <w:szCs w:val="24"/>
        </w:rPr>
        <w:t>Tcount</w:t>
      </w:r>
      <w:proofErr w:type="spellEnd"/>
      <w:r w:rsidRPr="00ED40FB">
        <w:rPr>
          <w:rFonts w:asciiTheme="majorBidi" w:eastAsia="Arial" w:hAnsiTheme="majorBidi" w:cstheme="majorBidi"/>
          <w:color w:val="000000"/>
          <w:sz w:val="24"/>
          <w:szCs w:val="24"/>
        </w:rPr>
        <w:t xml:space="preserve"> tax avoidance is equal to</w:t>
      </w:r>
      <w:r w:rsidR="00E80740" w:rsidRPr="00ED40FB">
        <w:rPr>
          <w:rFonts w:asciiTheme="majorBidi" w:hAnsiTheme="majorBidi" w:cstheme="majorBidi"/>
          <w:sz w:val="24"/>
          <w:szCs w:val="24"/>
        </w:rPr>
        <w:t xml:space="preserve">-1.316, then obtained </w:t>
      </w:r>
      <w:proofErr w:type="spellStart"/>
      <w:r w:rsidR="00E80740" w:rsidRPr="00ED40FB">
        <w:rPr>
          <w:rFonts w:asciiTheme="majorBidi" w:hAnsiTheme="majorBidi" w:cstheme="majorBidi"/>
          <w:sz w:val="24"/>
          <w:szCs w:val="24"/>
        </w:rPr>
        <w:t>Tcount</w:t>
      </w:r>
      <w:proofErr w:type="spellEnd"/>
      <w:r w:rsidR="00E80740" w:rsidRPr="00ED40FB">
        <w:rPr>
          <w:rFonts w:asciiTheme="majorBidi" w:hAnsiTheme="majorBidi" w:cstheme="majorBidi"/>
          <w:sz w:val="24"/>
          <w:szCs w:val="24"/>
        </w:rPr>
        <w:t xml:space="preserve"> &lt;</w:t>
      </w:r>
      <w:proofErr w:type="spellStart"/>
      <w:r w:rsidR="00E80740" w:rsidRPr="00ED40FB">
        <w:rPr>
          <w:rFonts w:asciiTheme="majorBidi" w:hAnsiTheme="majorBidi" w:cstheme="majorBidi"/>
          <w:sz w:val="24"/>
          <w:szCs w:val="24"/>
        </w:rPr>
        <w:t>Ttable</w:t>
      </w:r>
      <w:proofErr w:type="spellEnd"/>
      <w:r w:rsidR="00E80740" w:rsidRPr="00ED40FB">
        <w:rPr>
          <w:rFonts w:asciiTheme="majorBidi" w:hAnsiTheme="majorBidi" w:cstheme="majorBidi"/>
          <w:sz w:val="24"/>
          <w:szCs w:val="24"/>
        </w:rPr>
        <w:t xml:space="preserve"> or -1.316 &lt;1.984, significant value 0.191 &gt; 0.05, then the tax avoidance variable has no significant effect on the external funding variable because the </w:t>
      </w:r>
      <w:proofErr w:type="spellStart"/>
      <w:r w:rsidR="00E80740" w:rsidRPr="00ED40FB">
        <w:rPr>
          <w:rFonts w:asciiTheme="majorBidi" w:hAnsiTheme="majorBidi" w:cstheme="majorBidi"/>
          <w:sz w:val="24"/>
          <w:szCs w:val="24"/>
        </w:rPr>
        <w:t>Tcount</w:t>
      </w:r>
      <w:proofErr w:type="spellEnd"/>
      <w:r w:rsidR="00E80740" w:rsidRPr="00ED40FB">
        <w:rPr>
          <w:rFonts w:asciiTheme="majorBidi" w:hAnsiTheme="majorBidi" w:cstheme="majorBidi"/>
          <w:sz w:val="24"/>
          <w:szCs w:val="24"/>
        </w:rPr>
        <w:t xml:space="preserve"> value is -1.316 &lt;1.984 and a significant value of 0.191 &gt; 0.05.</w:t>
      </w:r>
    </w:p>
    <w:p w:rsidR="00EF62D4" w:rsidRPr="00ED40FB" w:rsidRDefault="00D83EF7"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 xml:space="preserve">Which means that tax avoidance has no effect on external funding. This is because the value of Cash ETR tends to be below 25%, thus causing a higher value of tax evasion by companies. Vice versa, if the Cash ETR is above 25%, then it shows that the company is doing less tax evasion. In addition, the DER value for food and beverage sub-sector companies listed on the IDX for the 2019-2021 period tends to be low. </w:t>
      </w:r>
      <w:proofErr w:type="gramStart"/>
      <w:r w:rsidRPr="00ED40FB">
        <w:rPr>
          <w:rFonts w:asciiTheme="majorBidi" w:hAnsiTheme="majorBidi" w:cstheme="majorBidi"/>
          <w:sz w:val="24"/>
          <w:szCs w:val="24"/>
        </w:rPr>
        <w:t>So</w:t>
      </w:r>
      <w:proofErr w:type="gramEnd"/>
      <w:r w:rsidRPr="00ED40FB">
        <w:rPr>
          <w:rFonts w:asciiTheme="majorBidi" w:hAnsiTheme="majorBidi" w:cstheme="majorBidi"/>
          <w:sz w:val="24"/>
          <w:szCs w:val="24"/>
        </w:rPr>
        <w:t xml:space="preserve"> by doing debt so that high interest expenses cannot minimize the company's tax burden. Then the results of this study are in accordance with the hypothesis.</w:t>
      </w:r>
    </w:p>
    <w:p w:rsidR="008E7D6C" w:rsidRPr="00ED40FB" w:rsidRDefault="008E7D6C"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Based on the results of the coefficient test, it shows that the R value is 0.132, which means 13.2%. The output results obtained a coefficient of determination (R square) of 0.018 which implies that the effect of the independent variable (tax avoidance) on the dependent variable (external funding) is 0.18%. Thus, it can be seen that tax avoidance has little effect on external funding.</w:t>
      </w:r>
    </w:p>
    <w:p w:rsidR="009A0949" w:rsidRDefault="00D83EF7"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Based on this research, the results of this study are in accordance with research conducted by (</w:t>
      </w:r>
      <w:proofErr w:type="spellStart"/>
      <w:r w:rsidRPr="00ED40FB">
        <w:rPr>
          <w:rFonts w:asciiTheme="majorBidi" w:hAnsiTheme="majorBidi" w:cstheme="majorBidi"/>
          <w:sz w:val="24"/>
          <w:szCs w:val="24"/>
        </w:rPr>
        <w:t>Ritonga</w:t>
      </w:r>
      <w:proofErr w:type="spellEnd"/>
      <w:r w:rsidRPr="00ED40FB">
        <w:rPr>
          <w:rFonts w:asciiTheme="majorBidi" w:hAnsiTheme="majorBidi" w:cstheme="majorBidi"/>
          <w:sz w:val="24"/>
          <w:szCs w:val="24"/>
        </w:rPr>
        <w:t xml:space="preserve">, 2020) which says that tax avoidance has no effect and is not significant on </w:t>
      </w:r>
      <w:proofErr w:type="spellStart"/>
      <w:r w:rsidRPr="00ED40FB">
        <w:rPr>
          <w:rFonts w:asciiTheme="majorBidi" w:hAnsiTheme="majorBidi" w:cstheme="majorBidi"/>
          <w:sz w:val="24"/>
          <w:szCs w:val="24"/>
        </w:rPr>
        <w:t>funding</w:t>
      </w:r>
      <w:r w:rsidRPr="00ED40FB">
        <w:rPr>
          <w:rFonts w:asciiTheme="majorBidi" w:hAnsiTheme="majorBidi" w:cstheme="majorBidi"/>
          <w:color w:val="FFFFFF" w:themeColor="background1"/>
          <w:sz w:val="24"/>
          <w:szCs w:val="24"/>
        </w:rPr>
        <w:t>u</w:t>
      </w:r>
      <w:r w:rsidRPr="00ED40FB">
        <w:rPr>
          <w:rFonts w:asciiTheme="majorBidi" w:hAnsiTheme="majorBidi" w:cstheme="majorBidi"/>
          <w:sz w:val="24"/>
          <w:szCs w:val="24"/>
        </w:rPr>
        <w:t>external</w:t>
      </w:r>
      <w:proofErr w:type="spellEnd"/>
      <w:r w:rsidRPr="00ED40FB">
        <w:rPr>
          <w:rFonts w:asciiTheme="majorBidi" w:hAnsiTheme="majorBidi" w:cstheme="majorBidi"/>
          <w:sz w:val="24"/>
          <w:szCs w:val="24"/>
        </w:rPr>
        <w:t>.</w:t>
      </w:r>
    </w:p>
    <w:p w:rsidR="00045915" w:rsidRPr="008A16C0" w:rsidRDefault="00045915" w:rsidP="00ED40FB">
      <w:pPr>
        <w:widowControl w:val="0"/>
        <w:spacing w:before="120" w:after="0"/>
        <w:jc w:val="both"/>
        <w:rPr>
          <w:rFonts w:asciiTheme="majorBidi" w:hAnsiTheme="majorBidi" w:cstheme="majorBidi"/>
          <w:sz w:val="24"/>
          <w:szCs w:val="24"/>
          <w:lang w:val="id-ID"/>
        </w:rPr>
      </w:pPr>
    </w:p>
    <w:p w:rsidR="009E44AF" w:rsidRPr="00ED40FB" w:rsidRDefault="009E44AF" w:rsidP="00ED40FB">
      <w:pPr>
        <w:pStyle w:val="Bab5Heading2"/>
        <w:widowControl w:val="0"/>
        <w:spacing w:before="120" w:after="0" w:line="276" w:lineRule="auto"/>
        <w:ind w:left="0" w:firstLine="0"/>
        <w:contextualSpacing w:val="0"/>
        <w:rPr>
          <w:rFonts w:asciiTheme="majorBidi" w:hAnsiTheme="majorBidi" w:cstheme="majorBidi"/>
          <w:sz w:val="24"/>
          <w:szCs w:val="24"/>
        </w:rPr>
      </w:pPr>
      <w:bookmarkStart w:id="10" w:name="_Toc109907798"/>
      <w:r w:rsidRPr="00ED40FB">
        <w:rPr>
          <w:rFonts w:asciiTheme="majorBidi" w:hAnsiTheme="majorBidi" w:cstheme="majorBidi"/>
          <w:sz w:val="24"/>
          <w:szCs w:val="24"/>
        </w:rPr>
        <w:lastRenderedPageBreak/>
        <w:t xml:space="preserve">CONCLUSION </w:t>
      </w:r>
      <w:r w:rsidR="008A16C0">
        <w:rPr>
          <w:rFonts w:asciiTheme="majorBidi" w:hAnsiTheme="majorBidi" w:cstheme="majorBidi"/>
          <w:sz w:val="24"/>
          <w:szCs w:val="24"/>
        </w:rPr>
        <w:t>&amp;</w:t>
      </w:r>
      <w:r w:rsidRPr="00ED40FB">
        <w:rPr>
          <w:rFonts w:asciiTheme="majorBidi" w:hAnsiTheme="majorBidi" w:cstheme="majorBidi"/>
          <w:sz w:val="24"/>
          <w:szCs w:val="24"/>
        </w:rPr>
        <w:t xml:space="preserve"> SUGGESTIONS</w:t>
      </w:r>
    </w:p>
    <w:p w:rsidR="00EF62D4" w:rsidRPr="00ED40FB" w:rsidRDefault="00D83EF7" w:rsidP="00ED40FB">
      <w:pPr>
        <w:pStyle w:val="Bab5Heading2"/>
        <w:widowControl w:val="0"/>
        <w:spacing w:before="120" w:after="0" w:line="276" w:lineRule="auto"/>
        <w:ind w:left="0" w:firstLine="0"/>
        <w:contextualSpacing w:val="0"/>
        <w:rPr>
          <w:rFonts w:asciiTheme="majorBidi" w:hAnsiTheme="majorBidi" w:cstheme="majorBidi"/>
          <w:sz w:val="24"/>
          <w:szCs w:val="24"/>
        </w:rPr>
      </w:pPr>
      <w:r w:rsidRPr="00ED40FB">
        <w:rPr>
          <w:rFonts w:asciiTheme="majorBidi" w:hAnsiTheme="majorBidi" w:cstheme="majorBidi"/>
          <w:sz w:val="24"/>
          <w:szCs w:val="24"/>
        </w:rPr>
        <w:t>Conclusion</w:t>
      </w:r>
      <w:bookmarkEnd w:id="10"/>
    </w:p>
    <w:p w:rsidR="00EF62D4" w:rsidRPr="00ED40FB" w:rsidRDefault="00D83EF7"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Based on the results of a research analysis regarding the effect of tax avoidance on external funding in food and beverage sub-sector companies listed on the Indonesia Stock Exchange (IDX) for the 2019-2021 period, it can be concluded that:</w:t>
      </w:r>
    </w:p>
    <w:p w:rsidR="00EF62D4" w:rsidRPr="00ED40FB" w:rsidRDefault="00D83EF7" w:rsidP="00ED40FB">
      <w:pPr>
        <w:pStyle w:val="ListParagraph"/>
        <w:widowControl w:val="0"/>
        <w:numPr>
          <w:ilvl w:val="0"/>
          <w:numId w:val="40"/>
        </w:numPr>
        <w:spacing w:before="120" w:after="0"/>
        <w:ind w:left="284" w:hanging="284"/>
        <w:jc w:val="both"/>
        <w:rPr>
          <w:rFonts w:asciiTheme="majorBidi" w:hAnsiTheme="majorBidi" w:cstheme="majorBidi"/>
          <w:sz w:val="24"/>
          <w:szCs w:val="24"/>
        </w:rPr>
      </w:pPr>
      <w:r w:rsidRPr="00ED40FB">
        <w:rPr>
          <w:rFonts w:asciiTheme="majorBidi" w:hAnsiTheme="majorBidi" w:cstheme="majorBidi"/>
          <w:sz w:val="24"/>
          <w:szCs w:val="24"/>
        </w:rPr>
        <w:t>The results of simple linear regression analysis show that the consistency value of the external funding variable is 0.186, the regression coefficient for the tax avoidance variable is -0.180 which states that the direction of the influence of tax avoidance is negative.</w:t>
      </w:r>
    </w:p>
    <w:p w:rsidR="00EF62D4" w:rsidRPr="00ED40FB" w:rsidRDefault="00D83EF7" w:rsidP="00ED40FB">
      <w:pPr>
        <w:pStyle w:val="ListParagraph"/>
        <w:widowControl w:val="0"/>
        <w:numPr>
          <w:ilvl w:val="0"/>
          <w:numId w:val="40"/>
        </w:numPr>
        <w:spacing w:before="120" w:after="0"/>
        <w:ind w:left="284" w:hanging="284"/>
        <w:jc w:val="both"/>
        <w:rPr>
          <w:rFonts w:asciiTheme="majorBidi" w:hAnsiTheme="majorBidi" w:cstheme="majorBidi"/>
          <w:sz w:val="24"/>
          <w:szCs w:val="24"/>
        </w:rPr>
      </w:pPr>
      <w:r w:rsidRPr="00ED40FB">
        <w:rPr>
          <w:rFonts w:asciiTheme="majorBidi" w:hAnsiTheme="majorBidi" w:cstheme="majorBidi"/>
          <w:sz w:val="24"/>
          <w:szCs w:val="24"/>
        </w:rPr>
        <w:t>The results showed that the tax avoidance variable (x) had no effect on the external funding variable (y).</w:t>
      </w:r>
    </w:p>
    <w:p w:rsidR="00EF62D4" w:rsidRPr="00ED40FB" w:rsidRDefault="008E7D6C" w:rsidP="00ED40FB">
      <w:pPr>
        <w:pStyle w:val="ListParagraph"/>
        <w:widowControl w:val="0"/>
        <w:numPr>
          <w:ilvl w:val="0"/>
          <w:numId w:val="40"/>
        </w:numPr>
        <w:spacing w:before="120" w:after="0"/>
        <w:ind w:left="284" w:hanging="284"/>
        <w:jc w:val="both"/>
        <w:rPr>
          <w:rFonts w:asciiTheme="majorBidi" w:hAnsiTheme="majorBidi" w:cstheme="majorBidi"/>
          <w:sz w:val="24"/>
          <w:szCs w:val="24"/>
        </w:rPr>
      </w:pPr>
      <w:r w:rsidRPr="00ED40FB">
        <w:rPr>
          <w:rFonts w:asciiTheme="majorBidi" w:hAnsiTheme="majorBidi" w:cstheme="majorBidi"/>
          <w:sz w:val="24"/>
          <w:szCs w:val="24"/>
        </w:rPr>
        <w:t>The value (R square) is 0.018 or 0.18%, where it is known that tax avoidance has little effect on external funding.</w:t>
      </w:r>
    </w:p>
    <w:p w:rsidR="00EF62D4" w:rsidRPr="00ED40FB" w:rsidRDefault="00D83EF7" w:rsidP="00ED40FB">
      <w:pPr>
        <w:pStyle w:val="Bab5Heading2"/>
        <w:widowControl w:val="0"/>
        <w:spacing w:before="120" w:after="0" w:line="276" w:lineRule="auto"/>
        <w:ind w:left="357"/>
        <w:contextualSpacing w:val="0"/>
        <w:jc w:val="both"/>
        <w:rPr>
          <w:rFonts w:asciiTheme="majorBidi" w:hAnsiTheme="majorBidi" w:cstheme="majorBidi"/>
          <w:sz w:val="24"/>
          <w:szCs w:val="24"/>
        </w:rPr>
      </w:pPr>
      <w:bookmarkStart w:id="11" w:name="_Toc109907799"/>
      <w:r w:rsidRPr="00ED40FB">
        <w:rPr>
          <w:rFonts w:asciiTheme="majorBidi" w:hAnsiTheme="majorBidi" w:cstheme="majorBidi"/>
          <w:sz w:val="24"/>
          <w:szCs w:val="24"/>
        </w:rPr>
        <w:t>Suggestion</w:t>
      </w:r>
      <w:bookmarkEnd w:id="11"/>
    </w:p>
    <w:p w:rsidR="00EF62D4" w:rsidRPr="00ED40FB" w:rsidRDefault="00D83EF7"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Based on the conclusions and limitations that have been put forward, the researcher provides several suggestions, including:</w:t>
      </w:r>
    </w:p>
    <w:p w:rsidR="00EF62D4" w:rsidRPr="00ED40FB" w:rsidRDefault="00D83EF7" w:rsidP="00ED40FB">
      <w:pPr>
        <w:pStyle w:val="ListParagraph"/>
        <w:widowControl w:val="0"/>
        <w:numPr>
          <w:ilvl w:val="0"/>
          <w:numId w:val="41"/>
        </w:numPr>
        <w:spacing w:before="120" w:after="0"/>
        <w:ind w:left="284" w:hanging="284"/>
        <w:jc w:val="both"/>
        <w:rPr>
          <w:rFonts w:asciiTheme="majorBidi" w:hAnsiTheme="majorBidi" w:cstheme="majorBidi"/>
          <w:sz w:val="24"/>
          <w:szCs w:val="24"/>
        </w:rPr>
      </w:pPr>
      <w:r w:rsidRPr="00ED40FB">
        <w:rPr>
          <w:rFonts w:asciiTheme="majorBidi" w:hAnsiTheme="majorBidi" w:cstheme="majorBidi"/>
          <w:sz w:val="24"/>
          <w:szCs w:val="24"/>
        </w:rPr>
        <w:t>Further researchers are advised to use other companies listed on the Indonesia Stock Exchange which have a relatively larger number of companies.</w:t>
      </w:r>
    </w:p>
    <w:p w:rsidR="00EF62D4" w:rsidRPr="00ED40FB" w:rsidRDefault="00D83EF7" w:rsidP="00ED40FB">
      <w:pPr>
        <w:pStyle w:val="ListParagraph"/>
        <w:widowControl w:val="0"/>
        <w:numPr>
          <w:ilvl w:val="0"/>
          <w:numId w:val="41"/>
        </w:numPr>
        <w:spacing w:before="120" w:after="0"/>
        <w:ind w:left="284" w:hanging="284"/>
        <w:jc w:val="both"/>
        <w:rPr>
          <w:rFonts w:asciiTheme="majorBidi" w:hAnsiTheme="majorBidi" w:cstheme="majorBidi"/>
          <w:sz w:val="24"/>
          <w:szCs w:val="24"/>
        </w:rPr>
      </w:pPr>
      <w:r w:rsidRPr="00ED40FB">
        <w:rPr>
          <w:rFonts w:asciiTheme="majorBidi" w:hAnsiTheme="majorBidi" w:cstheme="majorBidi"/>
          <w:sz w:val="24"/>
          <w:szCs w:val="24"/>
        </w:rPr>
        <w:t>Future research should increase the range of the research period in order to get better results.</w:t>
      </w:r>
    </w:p>
    <w:p w:rsidR="009E44AF" w:rsidRPr="00ED40FB" w:rsidRDefault="00D83EF7" w:rsidP="00ED40FB">
      <w:pPr>
        <w:pStyle w:val="ListParagraph"/>
        <w:widowControl w:val="0"/>
        <w:numPr>
          <w:ilvl w:val="0"/>
          <w:numId w:val="41"/>
        </w:numPr>
        <w:spacing w:before="120" w:after="0"/>
        <w:ind w:left="284" w:hanging="284"/>
        <w:jc w:val="both"/>
        <w:rPr>
          <w:rFonts w:asciiTheme="majorBidi" w:hAnsiTheme="majorBidi" w:cstheme="majorBidi"/>
          <w:sz w:val="24"/>
          <w:szCs w:val="24"/>
        </w:rPr>
      </w:pPr>
      <w:r w:rsidRPr="00ED40FB">
        <w:rPr>
          <w:rFonts w:asciiTheme="majorBidi" w:hAnsiTheme="majorBidi" w:cstheme="majorBidi"/>
          <w:sz w:val="24"/>
          <w:szCs w:val="24"/>
        </w:rPr>
        <w:t>In addition, companies must also pay attention to the value of external funding obtained through loans or debt so that later the company can be managed properly.</w:t>
      </w:r>
    </w:p>
    <w:p w:rsidR="00ED40FB" w:rsidRPr="00ED40FB" w:rsidRDefault="009E44AF" w:rsidP="00ED40FB">
      <w:pPr>
        <w:widowControl w:val="0"/>
        <w:spacing w:before="120" w:after="0"/>
        <w:jc w:val="both"/>
        <w:rPr>
          <w:rFonts w:asciiTheme="majorBidi" w:hAnsiTheme="majorBidi" w:cstheme="majorBidi"/>
          <w:b/>
          <w:bCs/>
          <w:sz w:val="24"/>
          <w:szCs w:val="24"/>
        </w:rPr>
      </w:pPr>
      <w:r w:rsidRPr="00ED40FB">
        <w:rPr>
          <w:rFonts w:asciiTheme="majorBidi" w:hAnsiTheme="majorBidi" w:cstheme="majorBidi"/>
          <w:b/>
          <w:bCs/>
          <w:sz w:val="24"/>
          <w:szCs w:val="24"/>
        </w:rPr>
        <w:t>Implications</w:t>
      </w:r>
    </w:p>
    <w:p w:rsidR="009E44AF" w:rsidRPr="00ED40FB" w:rsidRDefault="00135E29" w:rsidP="00ED40FB">
      <w:pPr>
        <w:widowControl w:val="0"/>
        <w:spacing w:before="120" w:after="0"/>
        <w:jc w:val="both"/>
        <w:rPr>
          <w:rFonts w:asciiTheme="majorBidi" w:hAnsiTheme="majorBidi" w:cstheme="majorBidi"/>
          <w:b/>
          <w:bCs/>
          <w:sz w:val="24"/>
          <w:szCs w:val="24"/>
        </w:rPr>
      </w:pPr>
      <w:r w:rsidRPr="00ED40FB">
        <w:rPr>
          <w:rFonts w:asciiTheme="majorBidi" w:hAnsiTheme="majorBidi" w:cstheme="majorBidi"/>
          <w:sz w:val="24"/>
          <w:szCs w:val="24"/>
        </w:rPr>
        <w:t>It is hoped that the theoretical model developed and tested in this study can contribute to our understanding of what factors affect profitability in the financial statements of manufacturing companies listed on the Indonesian Stock Exchange in 2019-2021. The results of this study have several important implications for corporate practitioners, investors and academics. Based on the conclusions that have been described, the authors propose implications that may be useful as follows:</w:t>
      </w:r>
    </w:p>
    <w:p w:rsidR="0024040E" w:rsidRPr="00ED40FB" w:rsidRDefault="00135E29"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 xml:space="preserve">1. For Companies </w:t>
      </w:r>
    </w:p>
    <w:p w:rsidR="00135E29" w:rsidRPr="00ED40FB" w:rsidRDefault="00135E29" w:rsidP="00ED40FB">
      <w:pPr>
        <w:widowControl w:val="0"/>
        <w:spacing w:before="120" w:after="0"/>
        <w:ind w:left="225"/>
        <w:jc w:val="both"/>
        <w:rPr>
          <w:rFonts w:asciiTheme="majorBidi" w:hAnsiTheme="majorBidi" w:cstheme="majorBidi"/>
          <w:sz w:val="24"/>
          <w:szCs w:val="24"/>
        </w:rPr>
      </w:pPr>
      <w:r w:rsidRPr="00ED40FB">
        <w:rPr>
          <w:rFonts w:asciiTheme="majorBidi" w:hAnsiTheme="majorBidi" w:cstheme="majorBidi"/>
          <w:sz w:val="24"/>
          <w:szCs w:val="24"/>
        </w:rPr>
        <w:t xml:space="preserve">It is hoped that the results of this study can assist companies in considering corporate financial </w:t>
      </w:r>
      <w:r w:rsidR="0024040E" w:rsidRPr="00ED40FB">
        <w:rPr>
          <w:rFonts w:asciiTheme="majorBidi" w:hAnsiTheme="majorBidi" w:cstheme="majorBidi"/>
          <w:sz w:val="24"/>
          <w:szCs w:val="24"/>
        </w:rPr>
        <w:t xml:space="preserve">     </w:t>
      </w:r>
      <w:r w:rsidRPr="00ED40FB">
        <w:rPr>
          <w:rFonts w:asciiTheme="majorBidi" w:hAnsiTheme="majorBidi" w:cstheme="majorBidi"/>
          <w:sz w:val="24"/>
          <w:szCs w:val="24"/>
        </w:rPr>
        <w:t>decision making. Companies can manage company resources contained in working capital optimally and effectively. as well as companies can pay more attention to any variables that greatly affect the company's profitability as material for further evaluation of company performance.</w:t>
      </w:r>
    </w:p>
    <w:p w:rsidR="0024040E" w:rsidRPr="00ED40FB" w:rsidRDefault="00280D36"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2. For Investors</w:t>
      </w:r>
    </w:p>
    <w:p w:rsidR="00280D36" w:rsidRPr="00ED40FB" w:rsidRDefault="00280D36" w:rsidP="00ED40FB">
      <w:pPr>
        <w:widowControl w:val="0"/>
        <w:spacing w:before="120" w:after="0"/>
        <w:ind w:left="225"/>
        <w:jc w:val="both"/>
        <w:rPr>
          <w:rFonts w:asciiTheme="majorBidi" w:hAnsiTheme="majorBidi" w:cstheme="majorBidi"/>
          <w:sz w:val="24"/>
          <w:szCs w:val="24"/>
        </w:rPr>
      </w:pPr>
      <w:r w:rsidRPr="00ED40FB">
        <w:rPr>
          <w:rFonts w:asciiTheme="majorBidi" w:hAnsiTheme="majorBidi" w:cstheme="majorBidi"/>
          <w:sz w:val="24"/>
          <w:szCs w:val="24"/>
        </w:rPr>
        <w:t>Investors in investing certainly expect a return or return on their investment by facing a smaller risk. This research is expected to be a consideration in determining and deciding which investments to make, because of course every investor wants good prospects for his company in the future. Investors can invest in manufacturing companies that have a good level of profitability with good working capital management as well.</w:t>
      </w:r>
    </w:p>
    <w:p w:rsidR="0024040E" w:rsidRPr="00ED40FB" w:rsidRDefault="00280D36" w:rsidP="00ED40FB">
      <w:pPr>
        <w:widowControl w:val="0"/>
        <w:spacing w:before="120" w:after="0"/>
        <w:jc w:val="both"/>
        <w:rPr>
          <w:rFonts w:asciiTheme="majorBidi" w:hAnsiTheme="majorBidi" w:cstheme="majorBidi"/>
          <w:sz w:val="24"/>
          <w:szCs w:val="24"/>
        </w:rPr>
      </w:pPr>
      <w:r w:rsidRPr="00ED40FB">
        <w:rPr>
          <w:rFonts w:asciiTheme="majorBidi" w:hAnsiTheme="majorBidi" w:cstheme="majorBidi"/>
          <w:sz w:val="24"/>
          <w:szCs w:val="24"/>
        </w:rPr>
        <w:t>3. For Academics</w:t>
      </w:r>
    </w:p>
    <w:p w:rsidR="00BC33B7" w:rsidRPr="00ED40FB" w:rsidRDefault="00280D36" w:rsidP="00ED40FB">
      <w:pPr>
        <w:widowControl w:val="0"/>
        <w:spacing w:before="120" w:after="0"/>
        <w:ind w:left="225"/>
        <w:jc w:val="both"/>
        <w:rPr>
          <w:rFonts w:asciiTheme="majorBidi" w:hAnsiTheme="majorBidi" w:cstheme="majorBidi"/>
          <w:sz w:val="24"/>
          <w:szCs w:val="24"/>
        </w:rPr>
      </w:pPr>
      <w:r w:rsidRPr="00ED40FB">
        <w:rPr>
          <w:rFonts w:asciiTheme="majorBidi" w:hAnsiTheme="majorBidi" w:cstheme="majorBidi"/>
          <w:sz w:val="24"/>
          <w:szCs w:val="24"/>
        </w:rPr>
        <w:lastRenderedPageBreak/>
        <w:t>This research can provide implications for academics for the development of science, developing insights and researchers' mindsets. The results of this study can be used as comparisons and references for further research and it is hoped that the results of this study will be useful in knowing more about the effect of tax avoidance on external funding.</w:t>
      </w:r>
    </w:p>
    <w:p w:rsidR="00ED40FB" w:rsidRDefault="00ED40FB" w:rsidP="00BC33B7">
      <w:pPr>
        <w:spacing w:after="0" w:line="240" w:lineRule="auto"/>
        <w:ind w:left="567" w:hanging="567"/>
        <w:jc w:val="both"/>
        <w:rPr>
          <w:rFonts w:asciiTheme="majorBidi" w:hAnsiTheme="majorBidi" w:cstheme="majorBidi"/>
          <w:b/>
          <w:sz w:val="24"/>
          <w:szCs w:val="24"/>
        </w:rPr>
      </w:pPr>
    </w:p>
    <w:p w:rsidR="00BC33B7" w:rsidRPr="009A0949" w:rsidRDefault="00ED40FB" w:rsidP="00BC33B7">
      <w:pPr>
        <w:spacing w:after="0" w:line="240" w:lineRule="auto"/>
        <w:ind w:left="567" w:hanging="567"/>
        <w:jc w:val="both"/>
        <w:rPr>
          <w:rFonts w:asciiTheme="majorBidi" w:hAnsiTheme="majorBidi" w:cstheme="majorBidi"/>
          <w:b/>
          <w:sz w:val="24"/>
          <w:szCs w:val="24"/>
          <w:lang w:val="id-ID"/>
        </w:rPr>
      </w:pPr>
      <w:r>
        <w:rPr>
          <w:rFonts w:asciiTheme="majorBidi" w:hAnsiTheme="majorBidi" w:cstheme="majorBidi"/>
          <w:b/>
          <w:sz w:val="24"/>
          <w:szCs w:val="24"/>
        </w:rPr>
        <w:t>REFERENCES</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r w:rsidRPr="00ED40FB">
        <w:rPr>
          <w:rFonts w:asciiTheme="majorBidi" w:eastAsia="Arial" w:hAnsiTheme="majorBidi" w:cstheme="majorBidi"/>
        </w:rPr>
        <w:t xml:space="preserve">Addition, GD, </w:t>
      </w:r>
      <w:proofErr w:type="spellStart"/>
      <w:r w:rsidRPr="00ED40FB">
        <w:rPr>
          <w:rFonts w:asciiTheme="majorBidi" w:eastAsia="Arial" w:hAnsiTheme="majorBidi" w:cstheme="majorBidi"/>
        </w:rPr>
        <w:t>Sumual</w:t>
      </w:r>
      <w:proofErr w:type="spellEnd"/>
      <w:r w:rsidRPr="00ED40FB">
        <w:rPr>
          <w:rFonts w:asciiTheme="majorBidi" w:eastAsia="Arial" w:hAnsiTheme="majorBidi" w:cstheme="majorBidi"/>
        </w:rPr>
        <w:t xml:space="preserve">, TEM, &amp; </w:t>
      </w:r>
      <w:proofErr w:type="spellStart"/>
      <w:r w:rsidRPr="00ED40FB">
        <w:rPr>
          <w:rFonts w:asciiTheme="majorBidi" w:eastAsia="Arial" w:hAnsiTheme="majorBidi" w:cstheme="majorBidi"/>
        </w:rPr>
        <w:t>Kewo</w:t>
      </w:r>
      <w:proofErr w:type="spellEnd"/>
      <w:r w:rsidRPr="00ED40FB">
        <w:rPr>
          <w:rFonts w:asciiTheme="majorBidi" w:eastAsia="Arial" w:hAnsiTheme="majorBidi" w:cstheme="majorBidi"/>
        </w:rPr>
        <w:t>, C. (2021). The Influence of Tax Planning and Tax Avoidance on Company Value. Manado Accounting Journal (JAIM), 2(2), 142–154. https://doi.org/10.53682/jaim.v2i2.1359 (Accessed 14 February)</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proofErr w:type="spellStart"/>
      <w:r w:rsidRPr="00ED40FB">
        <w:rPr>
          <w:rFonts w:asciiTheme="majorBidi" w:eastAsia="Arial" w:hAnsiTheme="majorBidi" w:cstheme="majorBidi"/>
        </w:rPr>
        <w:t>Arimurti</w:t>
      </w:r>
      <w:proofErr w:type="spellEnd"/>
      <w:r w:rsidRPr="00ED40FB">
        <w:rPr>
          <w:rFonts w:asciiTheme="majorBidi" w:eastAsia="Arial" w:hAnsiTheme="majorBidi" w:cstheme="majorBidi"/>
        </w:rPr>
        <w:t xml:space="preserve">, T., </w:t>
      </w:r>
      <w:proofErr w:type="spellStart"/>
      <w:r w:rsidRPr="00ED40FB">
        <w:rPr>
          <w:rFonts w:asciiTheme="majorBidi" w:eastAsia="Arial" w:hAnsiTheme="majorBidi" w:cstheme="majorBidi"/>
        </w:rPr>
        <w:t>Astriani</w:t>
      </w:r>
      <w:proofErr w:type="spellEnd"/>
      <w:r w:rsidRPr="00ED40FB">
        <w:rPr>
          <w:rFonts w:asciiTheme="majorBidi" w:eastAsia="Arial" w:hAnsiTheme="majorBidi" w:cstheme="majorBidi"/>
        </w:rPr>
        <w:t xml:space="preserve">, D., Accounting, PS, </w:t>
      </w:r>
      <w:proofErr w:type="spellStart"/>
      <w:r w:rsidRPr="00ED40FB">
        <w:rPr>
          <w:rFonts w:asciiTheme="majorBidi" w:eastAsia="Arial" w:hAnsiTheme="majorBidi" w:cstheme="majorBidi"/>
        </w:rPr>
        <w:t>Buana</w:t>
      </w:r>
      <w:proofErr w:type="spellEnd"/>
      <w:r w:rsidRPr="00ED40FB">
        <w:rPr>
          <w:rFonts w:asciiTheme="majorBidi" w:eastAsia="Arial" w:hAnsiTheme="majorBidi" w:cstheme="majorBidi"/>
        </w:rPr>
        <w:t xml:space="preserve">, U., </w:t>
      </w:r>
      <w:proofErr w:type="spellStart"/>
      <w:r w:rsidRPr="00ED40FB">
        <w:rPr>
          <w:rFonts w:asciiTheme="majorBidi" w:eastAsia="Arial" w:hAnsiTheme="majorBidi" w:cstheme="majorBidi"/>
        </w:rPr>
        <w:t>Karawang</w:t>
      </w:r>
      <w:proofErr w:type="spellEnd"/>
      <w:r w:rsidRPr="00ED40FB">
        <w:rPr>
          <w:rFonts w:asciiTheme="majorBidi" w:eastAsia="Arial" w:hAnsiTheme="majorBidi" w:cstheme="majorBidi"/>
        </w:rPr>
        <w:t xml:space="preserve">, P., Accounting, PS, &amp; Jakarta, UM (2022). The Influence of Leverage, Return </w:t>
      </w:r>
      <w:proofErr w:type="gramStart"/>
      <w:r w:rsidRPr="00ED40FB">
        <w:rPr>
          <w:rFonts w:asciiTheme="majorBidi" w:eastAsia="Arial" w:hAnsiTheme="majorBidi" w:cstheme="majorBidi"/>
        </w:rPr>
        <w:t>On</w:t>
      </w:r>
      <w:proofErr w:type="gramEnd"/>
      <w:r w:rsidRPr="00ED40FB">
        <w:rPr>
          <w:rFonts w:asciiTheme="majorBidi" w:eastAsia="Arial" w:hAnsiTheme="majorBidi" w:cstheme="majorBidi"/>
        </w:rPr>
        <w:t xml:space="preserve"> Assets (ROA) and Capital Intensity on Tax Avoidance with Transparency as a Moderating Variable in Manufacturing Companies Listed on the Indonesia Stock Exchange. 13(2), 299–315.</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hAnsiTheme="majorBidi" w:cstheme="majorBidi"/>
          <w:color w:val="222222"/>
          <w:shd w:val="clear" w:color="auto" w:fill="FFFFFF"/>
        </w:rPr>
      </w:pPr>
      <w:proofErr w:type="spellStart"/>
      <w:r w:rsidRPr="00ED40FB">
        <w:rPr>
          <w:rFonts w:asciiTheme="majorBidi" w:hAnsiTheme="majorBidi" w:cstheme="majorBidi"/>
          <w:color w:val="222222"/>
          <w:shd w:val="clear" w:color="auto" w:fill="FFFFFF"/>
        </w:rPr>
        <w:t>Astuti</w:t>
      </w:r>
      <w:proofErr w:type="spellEnd"/>
      <w:r w:rsidRPr="00ED40FB">
        <w:rPr>
          <w:rFonts w:asciiTheme="majorBidi" w:hAnsiTheme="majorBidi" w:cstheme="majorBidi"/>
          <w:color w:val="222222"/>
          <w:shd w:val="clear" w:color="auto" w:fill="FFFFFF"/>
        </w:rPr>
        <w:t xml:space="preserve">, TP, &amp; </w:t>
      </w:r>
      <w:proofErr w:type="spellStart"/>
      <w:r w:rsidRPr="00ED40FB">
        <w:rPr>
          <w:rFonts w:asciiTheme="majorBidi" w:hAnsiTheme="majorBidi" w:cstheme="majorBidi"/>
          <w:color w:val="222222"/>
          <w:shd w:val="clear" w:color="auto" w:fill="FFFFFF"/>
        </w:rPr>
        <w:t>Aryani</w:t>
      </w:r>
      <w:proofErr w:type="spellEnd"/>
      <w:r w:rsidRPr="00ED40FB">
        <w:rPr>
          <w:rFonts w:asciiTheme="majorBidi" w:hAnsiTheme="majorBidi" w:cstheme="majorBidi"/>
          <w:color w:val="222222"/>
          <w:shd w:val="clear" w:color="auto" w:fill="FFFFFF"/>
        </w:rPr>
        <w:t>, YES (2016). Trends in tax avoidance of manufacturing companies in Indonesia that are listed on the IDX in 2001-2014. Journal of Accounting, 20(3), 375-388.</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r w:rsidRPr="00ED40FB">
        <w:rPr>
          <w:rFonts w:asciiTheme="majorBidi" w:eastAsia="Arial" w:hAnsiTheme="majorBidi" w:cstheme="majorBidi"/>
        </w:rPr>
        <w:t xml:space="preserve">Devi, Y., </w:t>
      </w:r>
      <w:proofErr w:type="spellStart"/>
      <w:r w:rsidRPr="00ED40FB">
        <w:rPr>
          <w:rFonts w:asciiTheme="majorBidi" w:eastAsia="Arial" w:hAnsiTheme="majorBidi" w:cstheme="majorBidi"/>
        </w:rPr>
        <w:t>Saefurrohman</w:t>
      </w:r>
      <w:proofErr w:type="spellEnd"/>
      <w:r w:rsidRPr="00ED40FB">
        <w:rPr>
          <w:rFonts w:asciiTheme="majorBidi" w:eastAsia="Arial" w:hAnsiTheme="majorBidi" w:cstheme="majorBidi"/>
        </w:rPr>
        <w:t xml:space="preserve">, GU, </w:t>
      </w:r>
      <w:proofErr w:type="spellStart"/>
      <w:r w:rsidRPr="00ED40FB">
        <w:rPr>
          <w:rFonts w:asciiTheme="majorBidi" w:eastAsia="Arial" w:hAnsiTheme="majorBidi" w:cstheme="majorBidi"/>
        </w:rPr>
        <w:t>Rosilawati</w:t>
      </w:r>
      <w:proofErr w:type="spellEnd"/>
      <w:r w:rsidRPr="00ED40FB">
        <w:rPr>
          <w:rFonts w:asciiTheme="majorBidi" w:eastAsia="Arial" w:hAnsiTheme="majorBidi" w:cstheme="majorBidi"/>
        </w:rPr>
        <w:t xml:space="preserve">, W., </w:t>
      </w:r>
      <w:proofErr w:type="spellStart"/>
      <w:r w:rsidRPr="00ED40FB">
        <w:rPr>
          <w:rFonts w:asciiTheme="majorBidi" w:eastAsia="Arial" w:hAnsiTheme="majorBidi" w:cstheme="majorBidi"/>
        </w:rPr>
        <w:t>Utamie</w:t>
      </w:r>
      <w:proofErr w:type="spellEnd"/>
      <w:r w:rsidRPr="00ED40FB">
        <w:rPr>
          <w:rFonts w:asciiTheme="majorBidi" w:eastAsia="Arial" w:hAnsiTheme="majorBidi" w:cstheme="majorBidi"/>
        </w:rPr>
        <w:t xml:space="preserve">, ZR, &amp; </w:t>
      </w:r>
      <w:proofErr w:type="spellStart"/>
      <w:r w:rsidRPr="00ED40FB">
        <w:rPr>
          <w:rFonts w:asciiTheme="majorBidi" w:eastAsia="Arial" w:hAnsiTheme="majorBidi" w:cstheme="majorBidi"/>
        </w:rPr>
        <w:t>Nurhayati</w:t>
      </w:r>
      <w:proofErr w:type="spellEnd"/>
      <w:r w:rsidRPr="00ED40FB">
        <w:rPr>
          <w:rFonts w:asciiTheme="majorBidi" w:eastAsia="Arial" w:hAnsiTheme="majorBidi" w:cstheme="majorBidi"/>
        </w:rPr>
        <w:t>, N. (2022). Analysis of the Causes of Tax Avoidance in Reports</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r w:rsidRPr="00ED40FB">
        <w:rPr>
          <w:rFonts w:asciiTheme="majorBidi" w:eastAsia="Arial" w:hAnsiTheme="majorBidi" w:cstheme="majorBidi"/>
        </w:rPr>
        <w:t>El-</w:t>
      </w:r>
      <w:proofErr w:type="spellStart"/>
      <w:r w:rsidRPr="00ED40FB">
        <w:rPr>
          <w:rFonts w:asciiTheme="majorBidi" w:eastAsia="Arial" w:hAnsiTheme="majorBidi" w:cstheme="majorBidi"/>
        </w:rPr>
        <w:t>Dairi</w:t>
      </w:r>
      <w:proofErr w:type="spellEnd"/>
      <w:r w:rsidRPr="00ED40FB">
        <w:rPr>
          <w:rFonts w:asciiTheme="majorBidi" w:eastAsia="Arial" w:hAnsiTheme="majorBidi" w:cstheme="majorBidi"/>
        </w:rPr>
        <w:t>, M., &amp; House, RJ (2019). Optic nerve hypoplasia. In Handbook of Pediatric Retinal OCT and the Eye-Brain Connection (pp. 285–287). https://doi.org/10.1016/B978-0-323-60984-5.00062-7 (Accessed February 14)</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r w:rsidRPr="00ED40FB">
        <w:rPr>
          <w:rFonts w:asciiTheme="majorBidi" w:eastAsia="Arial" w:hAnsiTheme="majorBidi" w:cstheme="majorBidi"/>
        </w:rPr>
        <w:t>Finance in Companies Registered on the IDX in 2016-2019. Journal of Accounting and Taxes, 22(2), 622-627.</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hAnsiTheme="majorBidi" w:cstheme="majorBidi"/>
          <w:color w:val="222222"/>
          <w:shd w:val="clear" w:color="auto" w:fill="FFFFFF"/>
        </w:rPr>
      </w:pPr>
      <w:r w:rsidRPr="00ED40FB">
        <w:rPr>
          <w:rFonts w:asciiTheme="majorBidi" w:hAnsiTheme="majorBidi" w:cstheme="majorBidi"/>
          <w:color w:val="222222"/>
          <w:shd w:val="clear" w:color="auto" w:fill="FFFFFF"/>
        </w:rPr>
        <w:t xml:space="preserve">Hani, S., &amp; </w:t>
      </w:r>
      <w:proofErr w:type="spellStart"/>
      <w:r w:rsidRPr="00ED40FB">
        <w:rPr>
          <w:rFonts w:asciiTheme="majorBidi" w:hAnsiTheme="majorBidi" w:cstheme="majorBidi"/>
          <w:color w:val="222222"/>
          <w:shd w:val="clear" w:color="auto" w:fill="FFFFFF"/>
        </w:rPr>
        <w:t>Rahmi</w:t>
      </w:r>
      <w:proofErr w:type="spellEnd"/>
      <w:r w:rsidRPr="00ED40FB">
        <w:rPr>
          <w:rFonts w:asciiTheme="majorBidi" w:hAnsiTheme="majorBidi" w:cstheme="majorBidi"/>
          <w:color w:val="222222"/>
          <w:shd w:val="clear" w:color="auto" w:fill="FFFFFF"/>
        </w:rPr>
        <w:t>, DA (2014). Analysis of sales growth and asset structure against external funding structures. Scientific Journal of Management and Business, 14(01).</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hAnsiTheme="majorBidi" w:cstheme="majorBidi"/>
          <w:color w:val="222222"/>
          <w:shd w:val="clear" w:color="auto" w:fill="FFFFFF"/>
        </w:rPr>
      </w:pPr>
      <w:r w:rsidRPr="00ED40FB">
        <w:rPr>
          <w:rFonts w:asciiTheme="majorBidi" w:hAnsiTheme="majorBidi" w:cstheme="majorBidi"/>
          <w:color w:val="222222"/>
          <w:shd w:val="clear" w:color="auto" w:fill="FFFFFF"/>
        </w:rPr>
        <w:t xml:space="preserve">Hanlon, M., &amp; </w:t>
      </w:r>
      <w:proofErr w:type="spellStart"/>
      <w:r w:rsidRPr="00ED40FB">
        <w:rPr>
          <w:rFonts w:asciiTheme="majorBidi" w:hAnsiTheme="majorBidi" w:cstheme="majorBidi"/>
          <w:color w:val="222222"/>
          <w:shd w:val="clear" w:color="auto" w:fill="FFFFFF"/>
        </w:rPr>
        <w:t>Heitzman</w:t>
      </w:r>
      <w:proofErr w:type="spellEnd"/>
      <w:r w:rsidRPr="00ED40FB">
        <w:rPr>
          <w:rFonts w:asciiTheme="majorBidi" w:hAnsiTheme="majorBidi" w:cstheme="majorBidi"/>
          <w:color w:val="222222"/>
          <w:shd w:val="clear" w:color="auto" w:fill="FFFFFF"/>
        </w:rPr>
        <w:t>, S. (2010). A review of tax research. Journal of accounting and Economics, 50(2-3), 127-178.</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bookmarkStart w:id="12" w:name="_GoBack"/>
      <w:bookmarkEnd w:id="12"/>
      <w:r w:rsidRPr="00ED40FB">
        <w:rPr>
          <w:rFonts w:asciiTheme="majorBidi" w:eastAsia="Arial" w:hAnsiTheme="majorBidi" w:cstheme="majorBidi"/>
        </w:rPr>
        <w:t xml:space="preserve">Journal, J., Mea, I., Manufacturing, P., Registered, Y., &amp; Bei, DI (2021). Impact of Tax Avoidance </w:t>
      </w:r>
      <w:proofErr w:type="gramStart"/>
      <w:r w:rsidRPr="00ED40FB">
        <w:rPr>
          <w:rFonts w:asciiTheme="majorBidi" w:eastAsia="Arial" w:hAnsiTheme="majorBidi" w:cstheme="majorBidi"/>
        </w:rPr>
        <w:t>And</w:t>
      </w:r>
      <w:proofErr w:type="gramEnd"/>
      <w:r w:rsidRPr="00ED40FB">
        <w:rPr>
          <w:rFonts w:asciiTheme="majorBidi" w:eastAsia="Arial" w:hAnsiTheme="majorBidi" w:cstheme="majorBidi"/>
        </w:rPr>
        <w:t xml:space="preserve"> Leverage </w:t>
      </w:r>
      <w:proofErr w:type="spellStart"/>
      <w:r w:rsidRPr="00ED40FB">
        <w:rPr>
          <w:rFonts w:asciiTheme="majorBidi" w:eastAsia="Arial" w:hAnsiTheme="majorBidi" w:cstheme="majorBidi"/>
        </w:rPr>
        <w:t>Jimea</w:t>
      </w:r>
      <w:proofErr w:type="spellEnd"/>
      <w:r w:rsidRPr="00ED40FB">
        <w:rPr>
          <w:rFonts w:asciiTheme="majorBidi" w:eastAsia="Arial" w:hAnsiTheme="majorBidi" w:cstheme="majorBidi"/>
        </w:rPr>
        <w:t xml:space="preserve"> | MEA Scientific Journal (Management, Economics, and Accounting). 5(3), 3000–3010.</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hAnsiTheme="majorBidi" w:cstheme="majorBidi"/>
          <w:color w:val="222222"/>
          <w:shd w:val="clear" w:color="auto" w:fill="FFFFFF"/>
        </w:rPr>
      </w:pPr>
      <w:proofErr w:type="spellStart"/>
      <w:r w:rsidRPr="00ED40FB">
        <w:rPr>
          <w:rFonts w:asciiTheme="majorBidi" w:hAnsiTheme="majorBidi" w:cstheme="majorBidi"/>
          <w:color w:val="222222"/>
          <w:shd w:val="clear" w:color="auto" w:fill="FFFFFF"/>
        </w:rPr>
        <w:t>Kurnia</w:t>
      </w:r>
      <w:proofErr w:type="spellEnd"/>
      <w:r w:rsidRPr="00ED40FB">
        <w:rPr>
          <w:rFonts w:asciiTheme="majorBidi" w:hAnsiTheme="majorBidi" w:cstheme="majorBidi"/>
          <w:color w:val="222222"/>
          <w:shd w:val="clear" w:color="auto" w:fill="FFFFFF"/>
        </w:rPr>
        <w:t xml:space="preserve">, L., &amp; Arafat, MY (2015). The Influence of Profit Management and Company Size on the Cost of Equity Capital in Manufacturing Companies Listed on the Indonesia Stock Exchange. </w:t>
      </w:r>
      <w:proofErr w:type="spellStart"/>
      <w:r w:rsidRPr="00ED40FB">
        <w:rPr>
          <w:rFonts w:asciiTheme="majorBidi" w:hAnsiTheme="majorBidi" w:cstheme="majorBidi"/>
          <w:color w:val="222222"/>
          <w:shd w:val="clear" w:color="auto" w:fill="FFFFFF"/>
        </w:rPr>
        <w:t>Wahana</w:t>
      </w:r>
      <w:proofErr w:type="spellEnd"/>
      <w:r w:rsidRPr="00ED40FB">
        <w:rPr>
          <w:rFonts w:asciiTheme="majorBidi" w:hAnsiTheme="majorBidi" w:cstheme="majorBidi"/>
          <w:color w:val="222222"/>
          <w:shd w:val="clear" w:color="auto" w:fill="FFFFFF"/>
        </w:rPr>
        <w:t xml:space="preserve"> Accounting Scientific Journal, 10(1), 45-70.</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hAnsiTheme="majorBidi" w:cstheme="majorBidi"/>
          <w:color w:val="222222"/>
          <w:shd w:val="clear" w:color="auto" w:fill="FFFFFF"/>
        </w:rPr>
      </w:pPr>
      <w:proofErr w:type="spellStart"/>
      <w:r w:rsidRPr="00ED40FB">
        <w:rPr>
          <w:rFonts w:asciiTheme="majorBidi" w:hAnsiTheme="majorBidi" w:cstheme="majorBidi"/>
          <w:color w:val="222222"/>
          <w:shd w:val="clear" w:color="auto" w:fill="FFFFFF"/>
        </w:rPr>
        <w:t>Mangoting</w:t>
      </w:r>
      <w:proofErr w:type="spellEnd"/>
      <w:r w:rsidRPr="00ED40FB">
        <w:rPr>
          <w:rFonts w:asciiTheme="majorBidi" w:hAnsiTheme="majorBidi" w:cstheme="majorBidi"/>
          <w:color w:val="222222"/>
          <w:shd w:val="clear" w:color="auto" w:fill="FFFFFF"/>
        </w:rPr>
        <w:t>, Y. (1999). Tax planning: An introduction to tax minimizing alternatives. Journal of Accounting and Finance, 1(1), 43-53.</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proofErr w:type="spellStart"/>
      <w:r w:rsidRPr="00ED40FB">
        <w:rPr>
          <w:rFonts w:asciiTheme="majorBidi" w:eastAsia="Arial" w:hAnsiTheme="majorBidi" w:cstheme="majorBidi"/>
        </w:rPr>
        <w:t>Manullang</w:t>
      </w:r>
      <w:proofErr w:type="spellEnd"/>
      <w:r w:rsidRPr="00ED40FB">
        <w:rPr>
          <w:rFonts w:asciiTheme="majorBidi" w:eastAsia="Arial" w:hAnsiTheme="majorBidi" w:cstheme="majorBidi"/>
        </w:rPr>
        <w:t xml:space="preserve">, FA, H. </w:t>
      </w:r>
      <w:proofErr w:type="spellStart"/>
      <w:r w:rsidRPr="00ED40FB">
        <w:rPr>
          <w:rFonts w:asciiTheme="majorBidi" w:eastAsia="Arial" w:hAnsiTheme="majorBidi" w:cstheme="majorBidi"/>
        </w:rPr>
        <w:t>Marbun</w:t>
      </w:r>
      <w:proofErr w:type="spellEnd"/>
      <w:r w:rsidRPr="00ED40FB">
        <w:rPr>
          <w:rFonts w:asciiTheme="majorBidi" w:eastAsia="Arial" w:hAnsiTheme="majorBidi" w:cstheme="majorBidi"/>
        </w:rPr>
        <w:t xml:space="preserve">, HA, M </w:t>
      </w:r>
      <w:proofErr w:type="spellStart"/>
      <w:r w:rsidRPr="00ED40FB">
        <w:rPr>
          <w:rFonts w:asciiTheme="majorBidi" w:eastAsia="Arial" w:hAnsiTheme="majorBidi" w:cstheme="majorBidi"/>
        </w:rPr>
        <w:t>Tarigan</w:t>
      </w:r>
      <w:proofErr w:type="spellEnd"/>
      <w:r w:rsidRPr="00ED40FB">
        <w:rPr>
          <w:rFonts w:asciiTheme="majorBidi" w:eastAsia="Arial" w:hAnsiTheme="majorBidi" w:cstheme="majorBidi"/>
        </w:rPr>
        <w:t xml:space="preserve">, I., &amp; </w:t>
      </w:r>
      <w:proofErr w:type="spellStart"/>
      <w:r w:rsidRPr="00ED40FB">
        <w:rPr>
          <w:rFonts w:asciiTheme="majorBidi" w:eastAsia="Arial" w:hAnsiTheme="majorBidi" w:cstheme="majorBidi"/>
        </w:rPr>
        <w:t>Sihombing</w:t>
      </w:r>
      <w:proofErr w:type="spellEnd"/>
      <w:r w:rsidRPr="00ED40FB">
        <w:rPr>
          <w:rFonts w:asciiTheme="majorBidi" w:eastAsia="Arial" w:hAnsiTheme="majorBidi" w:cstheme="majorBidi"/>
        </w:rPr>
        <w:t>, B. (2020). The Effect of Tax Avoidance on the Cost of Debt in Manufacturing Companies Listed on the Indonesia Stock Exchange. JAKPI - Indonesian Journal of Accounting, Finance &amp; Taxation, 8(2), 58. https://doi.org/10.24114/jakpi.v8i2.20740 (Accessed February 14)</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i/>
        </w:rPr>
      </w:pPr>
      <w:proofErr w:type="spellStart"/>
      <w:r w:rsidRPr="00ED40FB">
        <w:rPr>
          <w:rFonts w:asciiTheme="majorBidi" w:eastAsia="Arial" w:hAnsiTheme="majorBidi" w:cstheme="majorBidi"/>
        </w:rPr>
        <w:t>Melati</w:t>
      </w:r>
      <w:proofErr w:type="spellEnd"/>
      <w:r w:rsidRPr="00ED40FB">
        <w:rPr>
          <w:rFonts w:asciiTheme="majorBidi" w:eastAsia="Arial" w:hAnsiTheme="majorBidi" w:cstheme="majorBidi"/>
        </w:rPr>
        <w:t xml:space="preserve"> </w:t>
      </w:r>
      <w:proofErr w:type="spellStart"/>
      <w:r w:rsidRPr="00ED40FB">
        <w:rPr>
          <w:rFonts w:asciiTheme="majorBidi" w:eastAsia="Arial" w:hAnsiTheme="majorBidi" w:cstheme="majorBidi"/>
        </w:rPr>
        <w:t>Septiyaningrum</w:t>
      </w:r>
      <w:proofErr w:type="spellEnd"/>
      <w:r w:rsidRPr="00ED40FB">
        <w:rPr>
          <w:rFonts w:asciiTheme="majorBidi" w:eastAsia="Arial" w:hAnsiTheme="majorBidi" w:cstheme="majorBidi"/>
        </w:rPr>
        <w:t>, (2020</w:t>
      </w:r>
      <w:proofErr w:type="gramStart"/>
      <w:r w:rsidRPr="00ED40FB">
        <w:rPr>
          <w:rFonts w:asciiTheme="majorBidi" w:eastAsia="Arial" w:hAnsiTheme="majorBidi" w:cstheme="majorBidi"/>
        </w:rPr>
        <w:t>) .</w:t>
      </w:r>
      <w:proofErr w:type="gramEnd"/>
      <w:r w:rsidRPr="00ED40FB">
        <w:rPr>
          <w:rFonts w:asciiTheme="majorBidi" w:eastAsia="Arial" w:hAnsiTheme="majorBidi" w:cstheme="majorBidi"/>
        </w:rPr>
        <w:t xml:space="preserve"> Effect of Tax Avoidance, Firm size with information transparency as a moderating variable. Proceedings of the 3rd national expert seminar in 2020. ISSN(P</w:t>
      </w:r>
      <w:proofErr w:type="gramStart"/>
      <w:r w:rsidRPr="00ED40FB">
        <w:rPr>
          <w:rFonts w:asciiTheme="majorBidi" w:eastAsia="Arial" w:hAnsiTheme="majorBidi" w:cstheme="majorBidi"/>
        </w:rPr>
        <w:t>) :</w:t>
      </w:r>
      <w:proofErr w:type="gramEnd"/>
      <w:r w:rsidRPr="00ED40FB">
        <w:rPr>
          <w:rFonts w:asciiTheme="majorBidi" w:eastAsia="Arial" w:hAnsiTheme="majorBidi" w:cstheme="majorBidi"/>
        </w:rPr>
        <w:t xml:space="preserve"> 2615-2584.ISSN (E) : 2615-3343.</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proofErr w:type="spellStart"/>
      <w:r w:rsidRPr="00ED40FB">
        <w:rPr>
          <w:rFonts w:asciiTheme="majorBidi" w:eastAsia="Arial" w:hAnsiTheme="majorBidi" w:cstheme="majorBidi"/>
        </w:rPr>
        <w:t>Ritonga</w:t>
      </w:r>
      <w:proofErr w:type="spellEnd"/>
      <w:r w:rsidRPr="00ED40FB">
        <w:rPr>
          <w:rFonts w:asciiTheme="majorBidi" w:eastAsia="Arial" w:hAnsiTheme="majorBidi" w:cstheme="majorBidi"/>
        </w:rPr>
        <w:t>, P. (2020). The Effect of Tax Avoidance on External Funding in Manufacturing Companies in the Food and Beverage Sub-Sector Listed on the Indonesia Stock Exchange. Journal of Contemporary Accounting and Finance, 3(1), 1–9. http://repository.umsu.ac.id/handle/123456789/5210 (Accessed on 14 February)</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r w:rsidRPr="00ED40FB">
        <w:rPr>
          <w:rFonts w:asciiTheme="majorBidi" w:eastAsia="Arial" w:hAnsiTheme="majorBidi" w:cstheme="majorBidi"/>
        </w:rPr>
        <w:t xml:space="preserve">Sari, N., </w:t>
      </w:r>
      <w:proofErr w:type="spellStart"/>
      <w:r w:rsidRPr="00ED40FB">
        <w:rPr>
          <w:rFonts w:asciiTheme="majorBidi" w:eastAsia="Arial" w:hAnsiTheme="majorBidi" w:cstheme="majorBidi"/>
        </w:rPr>
        <w:t>Luthan</w:t>
      </w:r>
      <w:proofErr w:type="spellEnd"/>
      <w:r w:rsidRPr="00ED40FB">
        <w:rPr>
          <w:rFonts w:asciiTheme="majorBidi" w:eastAsia="Arial" w:hAnsiTheme="majorBidi" w:cstheme="majorBidi"/>
        </w:rPr>
        <w:t xml:space="preserve">, E., &amp; </w:t>
      </w:r>
      <w:proofErr w:type="spellStart"/>
      <w:r w:rsidRPr="00ED40FB">
        <w:rPr>
          <w:rFonts w:asciiTheme="majorBidi" w:eastAsia="Arial" w:hAnsiTheme="majorBidi" w:cstheme="majorBidi"/>
        </w:rPr>
        <w:t>Syafriyeni</w:t>
      </w:r>
      <w:proofErr w:type="spellEnd"/>
      <w:r w:rsidRPr="00ED40FB">
        <w:rPr>
          <w:rFonts w:asciiTheme="majorBidi" w:eastAsia="Arial" w:hAnsiTheme="majorBidi" w:cstheme="majorBidi"/>
        </w:rPr>
        <w:t xml:space="preserve">, N. (2020). The Effects of Profitability, Leverage, Independent Commissioners, Institutional Ownership, and Company Size on Tax Avoidance in Manufacturing Companies Listed on the Indonesia Stock Exchange in 2014-2018. Scientific Journal of Batanghari University, Jambi, 20(2), 376. </w:t>
      </w:r>
      <w:r w:rsidRPr="00ED40FB">
        <w:rPr>
          <w:rFonts w:asciiTheme="majorBidi" w:eastAsia="Arial" w:hAnsiTheme="majorBidi" w:cstheme="majorBidi"/>
        </w:rPr>
        <w:lastRenderedPageBreak/>
        <w:t>https://doi.org/10.33087/jiubj.v20i2.913 (Accessed on 14 February</w:t>
      </w:r>
    </w:p>
    <w:p w:rsidR="003361A3" w:rsidRPr="00ED40FB" w:rsidRDefault="003361A3" w:rsidP="00ED40FB">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rPr>
      </w:pPr>
      <w:proofErr w:type="spellStart"/>
      <w:r w:rsidRPr="00ED40FB">
        <w:rPr>
          <w:rFonts w:asciiTheme="majorBidi" w:eastAsia="Arial" w:hAnsiTheme="majorBidi" w:cstheme="majorBidi"/>
        </w:rPr>
        <w:t>Setiawan</w:t>
      </w:r>
      <w:proofErr w:type="spellEnd"/>
      <w:r w:rsidRPr="00ED40FB">
        <w:rPr>
          <w:rFonts w:asciiTheme="majorBidi" w:eastAsia="Arial" w:hAnsiTheme="majorBidi" w:cstheme="majorBidi"/>
        </w:rPr>
        <w:t>, A., &amp; Agustina, N. (2018). The Effect of Thin Capitalization and Profitability on Tax Avoidance in Manufacturing Companies Listed on the Indonesia Stock Exchange. Journal of Accounting and Development, 4(1), 1–10.</w:t>
      </w:r>
    </w:p>
    <w:p w:rsidR="00EF62D4" w:rsidRPr="008515CD" w:rsidRDefault="003361A3" w:rsidP="008A16C0">
      <w:pPr>
        <w:pStyle w:val="ListParagraph"/>
        <w:widowControl w:val="0"/>
        <w:numPr>
          <w:ilvl w:val="0"/>
          <w:numId w:val="50"/>
        </w:numPr>
        <w:spacing w:before="120" w:after="0" w:line="240" w:lineRule="auto"/>
        <w:ind w:left="714" w:hanging="357"/>
        <w:contextualSpacing w:val="0"/>
        <w:jc w:val="both"/>
        <w:rPr>
          <w:rFonts w:asciiTheme="majorBidi" w:eastAsia="Arial" w:hAnsiTheme="majorBidi" w:cstheme="majorBidi"/>
          <w:b/>
          <w:color w:val="000000"/>
        </w:rPr>
      </w:pPr>
      <w:proofErr w:type="spellStart"/>
      <w:r w:rsidRPr="00ED40FB">
        <w:rPr>
          <w:rFonts w:asciiTheme="majorBidi" w:eastAsia="Arial" w:hAnsiTheme="majorBidi" w:cstheme="majorBidi"/>
        </w:rPr>
        <w:t>Yulyanah</w:t>
      </w:r>
      <w:proofErr w:type="spellEnd"/>
      <w:r w:rsidRPr="00ED40FB">
        <w:rPr>
          <w:rFonts w:asciiTheme="majorBidi" w:eastAsia="Arial" w:hAnsiTheme="majorBidi" w:cstheme="majorBidi"/>
        </w:rPr>
        <w:t xml:space="preserve">, Y., &amp; </w:t>
      </w:r>
      <w:proofErr w:type="spellStart"/>
      <w:r w:rsidRPr="00ED40FB">
        <w:rPr>
          <w:rFonts w:asciiTheme="majorBidi" w:eastAsia="Arial" w:hAnsiTheme="majorBidi" w:cstheme="majorBidi"/>
        </w:rPr>
        <w:t>Kusumastuti</w:t>
      </w:r>
      <w:proofErr w:type="spellEnd"/>
      <w:r w:rsidRPr="00ED40FB">
        <w:rPr>
          <w:rFonts w:asciiTheme="majorBidi" w:eastAsia="Arial" w:hAnsiTheme="majorBidi" w:cstheme="majorBidi"/>
        </w:rPr>
        <w:t xml:space="preserve">, SY (2019). Tax Avoidance in Manufacturing Companies in the Goods and Consumption Industry Sector in the Food and Beverage Sub-Sector Listed on the Indonesia Stock Exchange for the 2013-2017 period. Media </w:t>
      </w:r>
      <w:proofErr w:type="spellStart"/>
      <w:r w:rsidRPr="00ED40FB">
        <w:rPr>
          <w:rFonts w:asciiTheme="majorBidi" w:eastAsia="Arial" w:hAnsiTheme="majorBidi" w:cstheme="majorBidi"/>
        </w:rPr>
        <w:t>Ekonomi</w:t>
      </w:r>
      <w:proofErr w:type="spellEnd"/>
      <w:r w:rsidRPr="00ED40FB">
        <w:rPr>
          <w:rFonts w:asciiTheme="majorBidi" w:eastAsia="Arial" w:hAnsiTheme="majorBidi" w:cstheme="majorBidi"/>
        </w:rPr>
        <w:t xml:space="preserve">, 27(1), 17. </w:t>
      </w:r>
    </w:p>
    <w:p w:rsidR="00EF62D4" w:rsidRPr="008515CD" w:rsidRDefault="00EF62D4" w:rsidP="00970A21">
      <w:pPr>
        <w:widowControl w:val="0"/>
        <w:spacing w:after="0"/>
        <w:rPr>
          <w:rFonts w:asciiTheme="majorBidi" w:eastAsia="Arial" w:hAnsiTheme="majorBidi" w:cstheme="majorBidi"/>
          <w:b/>
          <w:color w:val="000000"/>
        </w:rPr>
      </w:pPr>
    </w:p>
    <w:p w:rsidR="00A24BAE" w:rsidRPr="008515CD" w:rsidRDefault="00A24BAE" w:rsidP="00970A21">
      <w:pPr>
        <w:widowControl w:val="0"/>
        <w:spacing w:after="0"/>
        <w:rPr>
          <w:rFonts w:asciiTheme="majorBidi" w:eastAsia="Arial" w:hAnsiTheme="majorBidi" w:cstheme="majorBidi"/>
          <w:b/>
          <w:color w:val="000000"/>
        </w:rPr>
      </w:pPr>
    </w:p>
    <w:sectPr w:rsidR="00A24BAE" w:rsidRPr="008515CD" w:rsidSect="00A56D09">
      <w:headerReference w:type="default" r:id="rId12"/>
      <w:headerReference w:type="first" r:id="rId13"/>
      <w:footerReference w:type="first" r:id="rId14"/>
      <w:pgSz w:w="11907" w:h="16839" w:code="9"/>
      <w:pgMar w:top="964" w:right="1134"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D86" w:rsidRDefault="00F47D86">
      <w:pPr>
        <w:spacing w:after="0" w:line="240" w:lineRule="auto"/>
      </w:pPr>
      <w:r>
        <w:separator/>
      </w:r>
    </w:p>
  </w:endnote>
  <w:endnote w:type="continuationSeparator" w:id="0">
    <w:p w:rsidR="00F47D86" w:rsidRDefault="00F47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15" w:rsidRPr="00045915" w:rsidRDefault="00045915" w:rsidP="00045915">
    <w:pPr>
      <w:pBdr>
        <w:top w:val="nil"/>
        <w:left w:val="nil"/>
        <w:bottom w:val="nil"/>
        <w:right w:val="nil"/>
        <w:between w:val="nil"/>
      </w:pBdr>
      <w:tabs>
        <w:tab w:val="right" w:pos="10080"/>
      </w:tabs>
      <w:spacing w:before="240" w:after="0"/>
      <w:rPr>
        <w:rFonts w:ascii="Times New Roman" w:eastAsia="Times New Roman" w:hAnsi="Times New Roman" w:cs="Times New Roman"/>
        <w:i/>
        <w:color w:val="000000"/>
        <w:sz w:val="18"/>
        <w:szCs w:val="18"/>
        <w:lang w:val="en-GB"/>
      </w:rPr>
    </w:pPr>
    <w:r w:rsidRPr="00045915">
      <w:rPr>
        <w:rFonts w:ascii="Times New Roman" w:eastAsia="Times New Roman" w:hAnsi="Times New Roman" w:cs="Times New Roman"/>
        <w:sz w:val="16"/>
        <w:szCs w:val="16"/>
        <w:lang w:val="en-GB"/>
      </w:rPr>
      <w:t>Copyright © 2023 The Authors. Published by UPT-</w:t>
    </w:r>
    <w:proofErr w:type="gramStart"/>
    <w:r w:rsidRPr="00045915">
      <w:rPr>
        <w:rFonts w:ascii="Times New Roman" w:eastAsia="Times New Roman" w:hAnsi="Times New Roman" w:cs="Times New Roman"/>
        <w:sz w:val="16"/>
        <w:szCs w:val="16"/>
        <w:lang w:val="en-GB"/>
      </w:rPr>
      <w:t>JPI  SPs</w:t>
    </w:r>
    <w:proofErr w:type="gramEnd"/>
    <w:r w:rsidRPr="00045915">
      <w:rPr>
        <w:rFonts w:ascii="Times New Roman" w:eastAsia="Times New Roman" w:hAnsi="Times New Roman" w:cs="Times New Roman"/>
        <w:sz w:val="16"/>
        <w:szCs w:val="16"/>
        <w:lang w:val="en-GB"/>
      </w:rPr>
      <w:t xml:space="preserve"> UIKA Bogor</w:t>
    </w:r>
  </w:p>
  <w:p w:rsidR="00045915" w:rsidRPr="00045915" w:rsidRDefault="00045915" w:rsidP="00045915">
    <w:pPr>
      <w:pBdr>
        <w:top w:val="nil"/>
        <w:left w:val="nil"/>
        <w:bottom w:val="nil"/>
        <w:right w:val="nil"/>
        <w:between w:val="nil"/>
      </w:pBdr>
      <w:tabs>
        <w:tab w:val="right" w:pos="10080"/>
      </w:tabs>
      <w:spacing w:after="0"/>
      <w:rPr>
        <w:rFonts w:ascii="Times New Roman" w:eastAsia="Times New Roman" w:hAnsi="Times New Roman" w:cs="Times New Roman"/>
        <w:i/>
        <w:color w:val="000000"/>
        <w:sz w:val="18"/>
        <w:szCs w:val="18"/>
        <w:lang w:val="en-GB"/>
      </w:rPr>
    </w:pPr>
    <w:r w:rsidRPr="00045915">
      <w:rPr>
        <w:rFonts w:ascii="Times New Roman" w:eastAsia="Times New Roman" w:hAnsi="Times New Roman" w:cs="Times New Roman"/>
        <w:sz w:val="16"/>
        <w:szCs w:val="16"/>
        <w:lang w:val="en-GB"/>
      </w:rPr>
      <w:t>This is an open access article distributed under the CC BY-NC 4.0 license -http://creativecommons.org/licenses/by-</w:t>
    </w:r>
    <w:proofErr w:type="spellStart"/>
    <w:r w:rsidRPr="00045915">
      <w:rPr>
        <w:rFonts w:ascii="Times New Roman" w:eastAsia="Times New Roman" w:hAnsi="Times New Roman" w:cs="Times New Roman"/>
        <w:sz w:val="16"/>
        <w:szCs w:val="16"/>
        <w:lang w:val="en-GB"/>
      </w:rPr>
      <w:t>nc</w:t>
    </w:r>
    <w:proofErr w:type="spellEnd"/>
    <w:r w:rsidRPr="00045915">
      <w:rPr>
        <w:rFonts w:ascii="Times New Roman" w:eastAsia="Times New Roman" w:hAnsi="Times New Roman" w:cs="Times New Roman"/>
        <w:sz w:val="16"/>
        <w:szCs w:val="16"/>
        <w:lang w:val="en-GB"/>
      </w:rPr>
      <w:t>/4.0/</w:t>
    </w:r>
    <w:proofErr w:type="spellStart"/>
    <w:r w:rsidRPr="00045915">
      <w:rPr>
        <w:rFonts w:ascii="Times New Roman" w:eastAsia="Times New Roman" w:hAnsi="Times New Roman" w:cs="Times New Roman"/>
        <w:sz w:val="16"/>
        <w:szCs w:val="16"/>
        <w:lang w:val="en-GB"/>
      </w:rPr>
      <w:t>hal</w:t>
    </w:r>
    <w:proofErr w:type="spellEnd"/>
  </w:p>
  <w:p w:rsidR="00045915" w:rsidRPr="00045915" w:rsidRDefault="00045915" w:rsidP="00045915">
    <w:pPr>
      <w:widowControl w:val="0"/>
      <w:tabs>
        <w:tab w:val="center" w:pos="4513"/>
        <w:tab w:val="right" w:pos="9026"/>
      </w:tabs>
      <w:spacing w:after="0" w:line="240" w:lineRule="auto"/>
      <w:rPr>
        <w:rFonts w:ascii="Times New Roman" w:eastAsia="Times New Roman" w:hAnsi="Times New Roman" w:cs="Times New Roman"/>
        <w:sz w:val="16"/>
        <w:szCs w:val="16"/>
        <w:lang w:val="en-GB"/>
      </w:rPr>
    </w:pPr>
  </w:p>
  <w:p w:rsidR="00045915" w:rsidRDefault="00045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D86" w:rsidRDefault="00F47D86">
      <w:pPr>
        <w:spacing w:after="0" w:line="240" w:lineRule="auto"/>
      </w:pPr>
      <w:r>
        <w:separator/>
      </w:r>
    </w:p>
  </w:footnote>
  <w:footnote w:type="continuationSeparator" w:id="0">
    <w:p w:rsidR="00F47D86" w:rsidRDefault="00F47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CE8" w:rsidRDefault="00045915" w:rsidP="00045915">
    <w:pPr>
      <w:widowControl w:val="0"/>
      <w:tabs>
        <w:tab w:val="center" w:pos="4513"/>
        <w:tab w:val="right" w:pos="9026"/>
      </w:tabs>
      <w:spacing w:after="0" w:line="240" w:lineRule="auto"/>
      <w:jc w:val="center"/>
      <w:rPr>
        <w:rFonts w:ascii="Times New Roman" w:eastAsia="Times New Roman" w:hAnsi="Times New Roman" w:cs="Times New Roman"/>
        <w:sz w:val="16"/>
        <w:szCs w:val="16"/>
        <w:lang w:val="en-GB"/>
      </w:rPr>
    </w:pPr>
    <w:r w:rsidRPr="00045915">
      <w:rPr>
        <w:rFonts w:ascii="Times New Roman" w:eastAsia="Times New Roman" w:hAnsi="Times New Roman" w:cs="Times New Roman"/>
        <w:sz w:val="16"/>
        <w:szCs w:val="16"/>
        <w:lang w:val="en-GB"/>
      </w:rPr>
      <w:t xml:space="preserve">Call Paper: Strategic Management &amp; Entrepreneurship Toward </w:t>
    </w:r>
    <w:proofErr w:type="gramStart"/>
    <w:r w:rsidRPr="00045915">
      <w:rPr>
        <w:rFonts w:ascii="Times New Roman" w:eastAsia="Times New Roman" w:hAnsi="Times New Roman" w:cs="Times New Roman"/>
        <w:sz w:val="16"/>
        <w:szCs w:val="16"/>
        <w:lang w:val="en-GB"/>
      </w:rPr>
      <w:t>The</w:t>
    </w:r>
    <w:proofErr w:type="gramEnd"/>
    <w:r w:rsidRPr="00045915">
      <w:rPr>
        <w:rFonts w:ascii="Times New Roman" w:eastAsia="Times New Roman" w:hAnsi="Times New Roman" w:cs="Times New Roman"/>
        <w:sz w:val="16"/>
        <w:szCs w:val="16"/>
        <w:lang w:val="en-GB"/>
      </w:rPr>
      <w:t xml:space="preserve"> New Normal Era, Volume 1, March 2023</w:t>
    </w:r>
  </w:p>
  <w:p w:rsidR="00045915" w:rsidRPr="00045915" w:rsidRDefault="00045915" w:rsidP="00045915">
    <w:pPr>
      <w:widowControl w:val="0"/>
      <w:tabs>
        <w:tab w:val="center" w:pos="4513"/>
        <w:tab w:val="right" w:pos="9026"/>
      </w:tabs>
      <w:spacing w:after="0" w:line="240" w:lineRule="auto"/>
      <w:jc w:val="center"/>
      <w:rPr>
        <w:rFonts w:ascii="Times New Roman" w:eastAsia="Times New Roman" w:hAnsi="Times New Roman" w:cs="Times New Roman"/>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915" w:rsidRPr="00045915" w:rsidRDefault="00045915" w:rsidP="00045915">
    <w:pPr>
      <w:widowControl w:val="0"/>
      <w:tabs>
        <w:tab w:val="center" w:pos="4513"/>
        <w:tab w:val="right" w:pos="9026"/>
      </w:tabs>
      <w:spacing w:after="0" w:line="240" w:lineRule="auto"/>
      <w:jc w:val="center"/>
      <w:rPr>
        <w:rFonts w:ascii="Times New Roman" w:eastAsia="Times New Roman" w:hAnsi="Times New Roman" w:cs="Times New Roman"/>
        <w:sz w:val="16"/>
        <w:szCs w:val="16"/>
        <w:lang w:val="en-GB"/>
      </w:rPr>
    </w:pPr>
    <w:r w:rsidRPr="00045915">
      <w:rPr>
        <w:rFonts w:ascii="Times New Roman" w:eastAsia="Times New Roman" w:hAnsi="Times New Roman" w:cs="Times New Roman"/>
        <w:sz w:val="16"/>
        <w:szCs w:val="16"/>
        <w:lang w:val="en-GB"/>
      </w:rPr>
      <w:t xml:space="preserve">Call Paper: Strategic Management &amp; Entrepreneurship Toward </w:t>
    </w:r>
    <w:proofErr w:type="gramStart"/>
    <w:r w:rsidRPr="00045915">
      <w:rPr>
        <w:rFonts w:ascii="Times New Roman" w:eastAsia="Times New Roman" w:hAnsi="Times New Roman" w:cs="Times New Roman"/>
        <w:sz w:val="16"/>
        <w:szCs w:val="16"/>
        <w:lang w:val="en-GB"/>
      </w:rPr>
      <w:t>The</w:t>
    </w:r>
    <w:proofErr w:type="gramEnd"/>
    <w:r w:rsidRPr="00045915">
      <w:rPr>
        <w:rFonts w:ascii="Times New Roman" w:eastAsia="Times New Roman" w:hAnsi="Times New Roman" w:cs="Times New Roman"/>
        <w:sz w:val="16"/>
        <w:szCs w:val="16"/>
        <w:lang w:val="en-GB"/>
      </w:rPr>
      <w:t xml:space="preserve"> New Normal Era, Volume 1, March 2023</w:t>
    </w:r>
  </w:p>
  <w:p w:rsidR="00045915" w:rsidRDefault="00045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521"/>
    <w:multiLevelType w:val="hybridMultilevel"/>
    <w:tmpl w:val="F55A0C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A174C"/>
    <w:multiLevelType w:val="hybridMultilevel"/>
    <w:tmpl w:val="1DE06BF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0D47F0"/>
    <w:multiLevelType w:val="multilevel"/>
    <w:tmpl w:val="0A0D47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4D21DD"/>
    <w:multiLevelType w:val="multilevel"/>
    <w:tmpl w:val="0F4D21D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4A0031"/>
    <w:multiLevelType w:val="multilevel"/>
    <w:tmpl w:val="114A003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CE0088"/>
    <w:multiLevelType w:val="hybridMultilevel"/>
    <w:tmpl w:val="3D00B8B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E240A92"/>
    <w:multiLevelType w:val="hybridMultilevel"/>
    <w:tmpl w:val="5FB4D91A"/>
    <w:lvl w:ilvl="0" w:tplc="F04AF0A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03411CC"/>
    <w:multiLevelType w:val="multilevel"/>
    <w:tmpl w:val="203411C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877614"/>
    <w:multiLevelType w:val="hybridMultilevel"/>
    <w:tmpl w:val="7DC432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9D3FA7"/>
    <w:multiLevelType w:val="multilevel"/>
    <w:tmpl w:val="2C9D3FA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0540FE"/>
    <w:multiLevelType w:val="multilevel"/>
    <w:tmpl w:val="2E0540F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C3771E"/>
    <w:multiLevelType w:val="multilevel"/>
    <w:tmpl w:val="30C3771E"/>
    <w:lvl w:ilvl="0">
      <w:start w:val="1"/>
      <w:numFmt w:val="upperLetter"/>
      <w:lvlText w:val="%1."/>
      <w:lvlJc w:val="left"/>
      <w:pPr>
        <w:ind w:left="1440" w:hanging="360"/>
      </w:pPr>
      <w:rPr>
        <w:rFonts w:asciiTheme="minorBidi" w:hAnsiTheme="minorBidi" w:cstheme="minorBidi"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321767C9"/>
    <w:multiLevelType w:val="multilevel"/>
    <w:tmpl w:val="321767C9"/>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13" w15:restartNumberingAfterBreak="0">
    <w:nsid w:val="32DB3A3B"/>
    <w:multiLevelType w:val="multilevel"/>
    <w:tmpl w:val="32DB3A3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3D06388"/>
    <w:multiLevelType w:val="hybridMultilevel"/>
    <w:tmpl w:val="2F60F24A"/>
    <w:lvl w:ilvl="0" w:tplc="B5FCF7DE">
      <w:start w:val="1"/>
      <w:numFmt w:val="decimal"/>
      <w:lvlText w:val="[%1]"/>
      <w:lvlJc w:val="left"/>
      <w:pPr>
        <w:ind w:left="720" w:hanging="360"/>
      </w:pPr>
      <w:rPr>
        <w:rFonts w:hint="default"/>
        <w:i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C5D7CC4"/>
    <w:multiLevelType w:val="hybridMultilevel"/>
    <w:tmpl w:val="190C3D0A"/>
    <w:lvl w:ilvl="0" w:tplc="9CFCF31C">
      <w:start w:val="1"/>
      <w:numFmt w:val="upperLetter"/>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16" w15:restartNumberingAfterBreak="0">
    <w:nsid w:val="40FB2FC0"/>
    <w:multiLevelType w:val="multilevel"/>
    <w:tmpl w:val="40FB2FC0"/>
    <w:lvl w:ilvl="0">
      <w:start w:val="1"/>
      <w:numFmt w:val="decimal"/>
      <w:lvlText w:val="%1."/>
      <w:lvlJc w:val="left"/>
      <w:pPr>
        <w:ind w:left="1080" w:hanging="360"/>
      </w:pPr>
      <w:rPr>
        <w:rFonts w:ascii="Arial" w:eastAsia="Calibri" w:hAnsi="Arial" w:cs="Arial"/>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41D0164B"/>
    <w:multiLevelType w:val="multilevel"/>
    <w:tmpl w:val="41D0164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38D433A"/>
    <w:multiLevelType w:val="multilevel"/>
    <w:tmpl w:val="438D433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3533CC"/>
    <w:multiLevelType w:val="multilevel"/>
    <w:tmpl w:val="DE0E6380"/>
    <w:lvl w:ilvl="0">
      <w:start w:val="1"/>
      <w:numFmt w:val="lowerLetter"/>
      <w:lvlText w:val="%1)"/>
      <w:lvlJc w:val="left"/>
      <w:pPr>
        <w:ind w:left="1212" w:hanging="360"/>
      </w:pPr>
      <w:rPr>
        <w:rFonts w:asciiTheme="majorBidi" w:eastAsia="Arial" w:hAnsiTheme="majorBidi" w:cstheme="majorBidi"/>
        <w:b w:val="0"/>
        <w:bCs/>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7165"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0" w15:restartNumberingAfterBreak="0">
    <w:nsid w:val="465E409E"/>
    <w:multiLevelType w:val="multilevel"/>
    <w:tmpl w:val="465E409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1" w15:restartNumberingAfterBreak="0">
    <w:nsid w:val="492836E7"/>
    <w:multiLevelType w:val="hybridMultilevel"/>
    <w:tmpl w:val="08F2B0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625E8"/>
    <w:multiLevelType w:val="multilevel"/>
    <w:tmpl w:val="4C1625E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4D4F2075"/>
    <w:multiLevelType w:val="hybridMultilevel"/>
    <w:tmpl w:val="C6A41F2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2F282C"/>
    <w:multiLevelType w:val="hybridMultilevel"/>
    <w:tmpl w:val="A42C9B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8F10DB"/>
    <w:multiLevelType w:val="multilevel"/>
    <w:tmpl w:val="4E8F10DB"/>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6" w15:restartNumberingAfterBreak="0">
    <w:nsid w:val="512365BE"/>
    <w:multiLevelType w:val="multilevel"/>
    <w:tmpl w:val="512365BE"/>
    <w:lvl w:ilvl="0">
      <w:start w:val="1"/>
      <w:numFmt w:val="upperLetter"/>
      <w:lvlText w:val="%1."/>
      <w:lvlJc w:val="left"/>
      <w:pPr>
        <w:ind w:left="1440" w:hanging="360"/>
      </w:pPr>
      <w:rPr>
        <w:rFonts w:asciiTheme="minorBidi" w:hAnsiTheme="minorBidi" w:cstheme="minorBidi" w:hint="default"/>
        <w:b/>
        <w:bC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15:restartNumberingAfterBreak="0">
    <w:nsid w:val="514B01B1"/>
    <w:multiLevelType w:val="hybridMultilevel"/>
    <w:tmpl w:val="2C3097C8"/>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53CE5F97"/>
    <w:multiLevelType w:val="hybridMultilevel"/>
    <w:tmpl w:val="C7A4635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7D2622E"/>
    <w:multiLevelType w:val="multilevel"/>
    <w:tmpl w:val="57D2622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5A261A51"/>
    <w:multiLevelType w:val="multilevel"/>
    <w:tmpl w:val="5A261A5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A5961A3"/>
    <w:multiLevelType w:val="multilevel"/>
    <w:tmpl w:val="5A5961A3"/>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5ACE5D8B"/>
    <w:multiLevelType w:val="multilevel"/>
    <w:tmpl w:val="5ACE5D8B"/>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BD00D25"/>
    <w:multiLevelType w:val="hybridMultilevel"/>
    <w:tmpl w:val="DB12DFB4"/>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C7B24FC"/>
    <w:multiLevelType w:val="multilevel"/>
    <w:tmpl w:val="5C7B24FC"/>
    <w:lvl w:ilvl="0">
      <w:start w:val="1"/>
      <w:numFmt w:val="decimal"/>
      <w:lvlText w:val="%1)"/>
      <w:lvlJc w:val="left"/>
      <w:pPr>
        <w:ind w:left="3240" w:hanging="360"/>
      </w:p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5" w15:restartNumberingAfterBreak="0">
    <w:nsid w:val="5CA90A5F"/>
    <w:multiLevelType w:val="multilevel"/>
    <w:tmpl w:val="5CA90A5F"/>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15:restartNumberingAfterBreak="0">
    <w:nsid w:val="698C76EA"/>
    <w:multiLevelType w:val="hybridMultilevel"/>
    <w:tmpl w:val="9200715A"/>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7" w15:restartNumberingAfterBreak="0">
    <w:nsid w:val="6A0C169F"/>
    <w:multiLevelType w:val="hybridMultilevel"/>
    <w:tmpl w:val="0C9AE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850EA"/>
    <w:multiLevelType w:val="multilevel"/>
    <w:tmpl w:val="6B0850E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6B735C43"/>
    <w:multiLevelType w:val="hybridMultilevel"/>
    <w:tmpl w:val="7736BA44"/>
    <w:lvl w:ilvl="0" w:tplc="F04AF0A6">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BD94046"/>
    <w:multiLevelType w:val="hybridMultilevel"/>
    <w:tmpl w:val="48A08F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D7161F"/>
    <w:multiLevelType w:val="multilevel"/>
    <w:tmpl w:val="5B0A00FC"/>
    <w:lvl w:ilvl="0">
      <w:start w:val="1"/>
      <w:numFmt w:val="decimal"/>
      <w:lvlText w:val="%1)"/>
      <w:lvlJc w:val="left"/>
      <w:pPr>
        <w:ind w:left="3240" w:hanging="360"/>
      </w:pPr>
      <w:rPr>
        <w:rFonts w:asciiTheme="majorBidi" w:eastAsia="Arial" w:hAnsiTheme="majorBidi" w:cstheme="majorBidi"/>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42" w15:restartNumberingAfterBreak="0">
    <w:nsid w:val="714A0325"/>
    <w:multiLevelType w:val="multilevel"/>
    <w:tmpl w:val="714A0325"/>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3" w15:restartNumberingAfterBreak="0">
    <w:nsid w:val="75D23DF0"/>
    <w:multiLevelType w:val="multilevel"/>
    <w:tmpl w:val="75D23DF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4" w15:restartNumberingAfterBreak="0">
    <w:nsid w:val="79FD2A9F"/>
    <w:multiLevelType w:val="multilevel"/>
    <w:tmpl w:val="79FD2A9F"/>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5" w15:restartNumberingAfterBreak="0">
    <w:nsid w:val="7B0A028F"/>
    <w:multiLevelType w:val="hybridMultilevel"/>
    <w:tmpl w:val="A52859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811F1E"/>
    <w:multiLevelType w:val="hybridMultilevel"/>
    <w:tmpl w:val="08AE4E5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26"/>
  </w:num>
  <w:num w:numId="2">
    <w:abstractNumId w:val="11"/>
  </w:num>
  <w:num w:numId="3">
    <w:abstractNumId w:val="10"/>
  </w:num>
  <w:num w:numId="4">
    <w:abstractNumId w:val="32"/>
  </w:num>
  <w:num w:numId="5">
    <w:abstractNumId w:val="16"/>
  </w:num>
  <w:num w:numId="6">
    <w:abstractNumId w:val="7"/>
  </w:num>
  <w:num w:numId="7">
    <w:abstractNumId w:val="30"/>
  </w:num>
  <w:num w:numId="8">
    <w:abstractNumId w:val="31"/>
  </w:num>
  <w:num w:numId="9">
    <w:abstractNumId w:val="9"/>
  </w:num>
  <w:num w:numId="10">
    <w:abstractNumId w:val="4"/>
  </w:num>
  <w:num w:numId="11">
    <w:abstractNumId w:val="18"/>
  </w:num>
  <w:num w:numId="12">
    <w:abstractNumId w:val="38"/>
  </w:num>
  <w:num w:numId="13">
    <w:abstractNumId w:val="22"/>
  </w:num>
  <w:num w:numId="14">
    <w:abstractNumId w:val="29"/>
  </w:num>
  <w:num w:numId="15">
    <w:abstractNumId w:val="43"/>
  </w:num>
  <w:num w:numId="16">
    <w:abstractNumId w:val="25"/>
  </w:num>
  <w:num w:numId="17">
    <w:abstractNumId w:val="17"/>
  </w:num>
  <w:num w:numId="18">
    <w:abstractNumId w:val="34"/>
  </w:num>
  <w:num w:numId="19">
    <w:abstractNumId w:val="35"/>
  </w:num>
  <w:num w:numId="20">
    <w:abstractNumId w:val="20"/>
  </w:num>
  <w:num w:numId="21">
    <w:abstractNumId w:val="44"/>
  </w:num>
  <w:num w:numId="22">
    <w:abstractNumId w:val="41"/>
  </w:num>
  <w:num w:numId="23">
    <w:abstractNumId w:val="12"/>
  </w:num>
  <w:num w:numId="24">
    <w:abstractNumId w:val="42"/>
  </w:num>
  <w:num w:numId="25">
    <w:abstractNumId w:val="19"/>
  </w:num>
  <w:num w:numId="26">
    <w:abstractNumId w:val="13"/>
  </w:num>
  <w:num w:numId="27">
    <w:abstractNumId w:val="2"/>
  </w:num>
  <w:num w:numId="28">
    <w:abstractNumId w:val="3"/>
  </w:num>
  <w:num w:numId="29">
    <w:abstractNumId w:val="36"/>
  </w:num>
  <w:num w:numId="30">
    <w:abstractNumId w:val="10"/>
    <w:lvlOverride w:ilvl="0">
      <w:startOverride w:val="1"/>
    </w:lvlOverride>
    <w:lvlOverride w:ilvl="1">
      <w:startOverride w:val="1"/>
    </w:lvlOverride>
    <w:lvlOverride w:ilvl="2">
      <w:startOverride w:val="1"/>
    </w:lvlOverride>
    <w:lvlOverride w:ilvl="3">
      <w:startOverride w:val="13"/>
    </w:lvlOverride>
  </w:num>
  <w:num w:numId="31">
    <w:abstractNumId w:val="10"/>
    <w:lvlOverride w:ilvl="0">
      <w:startOverride w:val="1"/>
    </w:lvlOverride>
    <w:lvlOverride w:ilvl="1">
      <w:startOverride w:val="1"/>
    </w:lvlOverride>
    <w:lvlOverride w:ilvl="2">
      <w:startOverride w:val="1"/>
    </w:lvlOverride>
    <w:lvlOverride w:ilvl="3">
      <w:startOverride w:val="13"/>
    </w:lvlOverride>
  </w:num>
  <w:num w:numId="32">
    <w:abstractNumId w:val="10"/>
    <w:lvlOverride w:ilvl="0">
      <w:startOverride w:val="1"/>
    </w:lvlOverride>
    <w:lvlOverride w:ilvl="1">
      <w:startOverride w:val="1"/>
    </w:lvlOverride>
    <w:lvlOverride w:ilvl="2">
      <w:startOverride w:val="1"/>
    </w:lvlOverride>
    <w:lvlOverride w:ilvl="3">
      <w:startOverride w:val="15"/>
    </w:lvlOverride>
  </w:num>
  <w:num w:numId="33">
    <w:abstractNumId w:val="45"/>
  </w:num>
  <w:num w:numId="34">
    <w:abstractNumId w:val="24"/>
  </w:num>
  <w:num w:numId="35">
    <w:abstractNumId w:val="15"/>
  </w:num>
  <w:num w:numId="36">
    <w:abstractNumId w:val="37"/>
  </w:num>
  <w:num w:numId="37">
    <w:abstractNumId w:val="0"/>
  </w:num>
  <w:num w:numId="38">
    <w:abstractNumId w:val="21"/>
  </w:num>
  <w:num w:numId="39">
    <w:abstractNumId w:val="40"/>
  </w:num>
  <w:num w:numId="40">
    <w:abstractNumId w:val="8"/>
  </w:num>
  <w:num w:numId="41">
    <w:abstractNumId w:val="23"/>
  </w:num>
  <w:num w:numId="42">
    <w:abstractNumId w:val="1"/>
  </w:num>
  <w:num w:numId="43">
    <w:abstractNumId w:val="33"/>
  </w:num>
  <w:num w:numId="44">
    <w:abstractNumId w:val="5"/>
  </w:num>
  <w:num w:numId="45">
    <w:abstractNumId w:val="27"/>
  </w:num>
  <w:num w:numId="46">
    <w:abstractNumId w:val="28"/>
  </w:num>
  <w:num w:numId="47">
    <w:abstractNumId w:val="39"/>
  </w:num>
  <w:num w:numId="48">
    <w:abstractNumId w:val="6"/>
  </w:num>
  <w:num w:numId="49">
    <w:abstractNumId w:val="46"/>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2D4"/>
    <w:rsid w:val="000001B1"/>
    <w:rsid w:val="00003007"/>
    <w:rsid w:val="00005130"/>
    <w:rsid w:val="00013EB1"/>
    <w:rsid w:val="000319C1"/>
    <w:rsid w:val="00034C03"/>
    <w:rsid w:val="000425A1"/>
    <w:rsid w:val="000435D6"/>
    <w:rsid w:val="00044EAF"/>
    <w:rsid w:val="00045915"/>
    <w:rsid w:val="000633FB"/>
    <w:rsid w:val="00072155"/>
    <w:rsid w:val="00076B76"/>
    <w:rsid w:val="000B1C66"/>
    <w:rsid w:val="000B4F2E"/>
    <w:rsid w:val="000C6CF1"/>
    <w:rsid w:val="000E1E72"/>
    <w:rsid w:val="000F1124"/>
    <w:rsid w:val="000F5335"/>
    <w:rsid w:val="000F7BFA"/>
    <w:rsid w:val="00112445"/>
    <w:rsid w:val="00132816"/>
    <w:rsid w:val="00132B9D"/>
    <w:rsid w:val="00135E29"/>
    <w:rsid w:val="0013774F"/>
    <w:rsid w:val="00140A02"/>
    <w:rsid w:val="00143CD3"/>
    <w:rsid w:val="00146242"/>
    <w:rsid w:val="00156B1B"/>
    <w:rsid w:val="00164664"/>
    <w:rsid w:val="0017466F"/>
    <w:rsid w:val="001901F7"/>
    <w:rsid w:val="00190EEA"/>
    <w:rsid w:val="00191588"/>
    <w:rsid w:val="00194412"/>
    <w:rsid w:val="001B0FFA"/>
    <w:rsid w:val="001D13AD"/>
    <w:rsid w:val="001E21B8"/>
    <w:rsid w:val="001F25A3"/>
    <w:rsid w:val="001F3824"/>
    <w:rsid w:val="00202F43"/>
    <w:rsid w:val="00202FE4"/>
    <w:rsid w:val="00205230"/>
    <w:rsid w:val="0021542C"/>
    <w:rsid w:val="00232F81"/>
    <w:rsid w:val="00235BCF"/>
    <w:rsid w:val="00236848"/>
    <w:rsid w:val="0024040E"/>
    <w:rsid w:val="002413F0"/>
    <w:rsid w:val="00260C72"/>
    <w:rsid w:val="00266077"/>
    <w:rsid w:val="00272079"/>
    <w:rsid w:val="0028051C"/>
    <w:rsid w:val="00280D36"/>
    <w:rsid w:val="0029137E"/>
    <w:rsid w:val="002914D2"/>
    <w:rsid w:val="002A1CFA"/>
    <w:rsid w:val="002B797B"/>
    <w:rsid w:val="002C2AEE"/>
    <w:rsid w:val="002C4594"/>
    <w:rsid w:val="002E6E60"/>
    <w:rsid w:val="002F250D"/>
    <w:rsid w:val="00322D7B"/>
    <w:rsid w:val="003361A3"/>
    <w:rsid w:val="00343401"/>
    <w:rsid w:val="00357DEE"/>
    <w:rsid w:val="00377481"/>
    <w:rsid w:val="00383C03"/>
    <w:rsid w:val="0038661F"/>
    <w:rsid w:val="003948CE"/>
    <w:rsid w:val="003A0B90"/>
    <w:rsid w:val="003C6FC2"/>
    <w:rsid w:val="003D0A0B"/>
    <w:rsid w:val="003D10FE"/>
    <w:rsid w:val="003F0EAC"/>
    <w:rsid w:val="003F6899"/>
    <w:rsid w:val="0040282B"/>
    <w:rsid w:val="0040515E"/>
    <w:rsid w:val="004208F0"/>
    <w:rsid w:val="00431988"/>
    <w:rsid w:val="00432774"/>
    <w:rsid w:val="00441C6F"/>
    <w:rsid w:val="00444BD2"/>
    <w:rsid w:val="004552C2"/>
    <w:rsid w:val="004608B9"/>
    <w:rsid w:val="00464DA6"/>
    <w:rsid w:val="00466F9F"/>
    <w:rsid w:val="004718C0"/>
    <w:rsid w:val="00476C0A"/>
    <w:rsid w:val="004A13D1"/>
    <w:rsid w:val="004A1688"/>
    <w:rsid w:val="004C01D0"/>
    <w:rsid w:val="004C6932"/>
    <w:rsid w:val="004D0B76"/>
    <w:rsid w:val="004D63EA"/>
    <w:rsid w:val="004E02DD"/>
    <w:rsid w:val="004E5020"/>
    <w:rsid w:val="0050225A"/>
    <w:rsid w:val="0050633A"/>
    <w:rsid w:val="005138B3"/>
    <w:rsid w:val="00523956"/>
    <w:rsid w:val="005306F4"/>
    <w:rsid w:val="0053570C"/>
    <w:rsid w:val="0053659C"/>
    <w:rsid w:val="0054142A"/>
    <w:rsid w:val="0055767E"/>
    <w:rsid w:val="00566959"/>
    <w:rsid w:val="005C24F3"/>
    <w:rsid w:val="005C70A1"/>
    <w:rsid w:val="005F5A69"/>
    <w:rsid w:val="00612BFF"/>
    <w:rsid w:val="006136A7"/>
    <w:rsid w:val="00613FFB"/>
    <w:rsid w:val="00631C98"/>
    <w:rsid w:val="00640108"/>
    <w:rsid w:val="00683BF5"/>
    <w:rsid w:val="00696740"/>
    <w:rsid w:val="006A1B55"/>
    <w:rsid w:val="006C2B4E"/>
    <w:rsid w:val="006C7843"/>
    <w:rsid w:val="006D25F5"/>
    <w:rsid w:val="006D355F"/>
    <w:rsid w:val="006D422A"/>
    <w:rsid w:val="006D4662"/>
    <w:rsid w:val="006F4C99"/>
    <w:rsid w:val="00702F46"/>
    <w:rsid w:val="007232F5"/>
    <w:rsid w:val="00726C15"/>
    <w:rsid w:val="00733478"/>
    <w:rsid w:val="007350D9"/>
    <w:rsid w:val="007530AC"/>
    <w:rsid w:val="00760E4B"/>
    <w:rsid w:val="00761A27"/>
    <w:rsid w:val="0076205B"/>
    <w:rsid w:val="0076274E"/>
    <w:rsid w:val="007677B0"/>
    <w:rsid w:val="00782BDD"/>
    <w:rsid w:val="00786383"/>
    <w:rsid w:val="00792CAE"/>
    <w:rsid w:val="007978BD"/>
    <w:rsid w:val="007A126B"/>
    <w:rsid w:val="007B312D"/>
    <w:rsid w:val="007C65CB"/>
    <w:rsid w:val="007C6E12"/>
    <w:rsid w:val="007F316C"/>
    <w:rsid w:val="007F5874"/>
    <w:rsid w:val="007F6E9B"/>
    <w:rsid w:val="00800C02"/>
    <w:rsid w:val="00820E6C"/>
    <w:rsid w:val="00823582"/>
    <w:rsid w:val="008240CF"/>
    <w:rsid w:val="008264C0"/>
    <w:rsid w:val="00834068"/>
    <w:rsid w:val="00837589"/>
    <w:rsid w:val="00845322"/>
    <w:rsid w:val="00845AEA"/>
    <w:rsid w:val="00847641"/>
    <w:rsid w:val="008515CD"/>
    <w:rsid w:val="00863EE2"/>
    <w:rsid w:val="008752D3"/>
    <w:rsid w:val="0087707A"/>
    <w:rsid w:val="008A16C0"/>
    <w:rsid w:val="008A4FAD"/>
    <w:rsid w:val="008A79E4"/>
    <w:rsid w:val="008B017A"/>
    <w:rsid w:val="008C0DA3"/>
    <w:rsid w:val="008C36FF"/>
    <w:rsid w:val="008C5662"/>
    <w:rsid w:val="008D45B3"/>
    <w:rsid w:val="008D500C"/>
    <w:rsid w:val="008E3181"/>
    <w:rsid w:val="008E7D6C"/>
    <w:rsid w:val="009044A4"/>
    <w:rsid w:val="009108FD"/>
    <w:rsid w:val="00920EAD"/>
    <w:rsid w:val="0092456F"/>
    <w:rsid w:val="0094232C"/>
    <w:rsid w:val="00953C87"/>
    <w:rsid w:val="00953D93"/>
    <w:rsid w:val="0095600D"/>
    <w:rsid w:val="0095711B"/>
    <w:rsid w:val="00970A21"/>
    <w:rsid w:val="009737DB"/>
    <w:rsid w:val="00973CE7"/>
    <w:rsid w:val="00986DFC"/>
    <w:rsid w:val="00994640"/>
    <w:rsid w:val="009A0949"/>
    <w:rsid w:val="009B11AC"/>
    <w:rsid w:val="009C6EF6"/>
    <w:rsid w:val="009D7B2C"/>
    <w:rsid w:val="009E44AF"/>
    <w:rsid w:val="009F3524"/>
    <w:rsid w:val="00A10B4A"/>
    <w:rsid w:val="00A12A65"/>
    <w:rsid w:val="00A159A9"/>
    <w:rsid w:val="00A17C87"/>
    <w:rsid w:val="00A24BAE"/>
    <w:rsid w:val="00A3160D"/>
    <w:rsid w:val="00A51F37"/>
    <w:rsid w:val="00A56D09"/>
    <w:rsid w:val="00A922DA"/>
    <w:rsid w:val="00A9483C"/>
    <w:rsid w:val="00A94DEA"/>
    <w:rsid w:val="00AA0F32"/>
    <w:rsid w:val="00AB749E"/>
    <w:rsid w:val="00AD2A7C"/>
    <w:rsid w:val="00AD77D3"/>
    <w:rsid w:val="00AE1867"/>
    <w:rsid w:val="00AE5CE8"/>
    <w:rsid w:val="00AF0D7B"/>
    <w:rsid w:val="00B01B06"/>
    <w:rsid w:val="00B1206C"/>
    <w:rsid w:val="00B20775"/>
    <w:rsid w:val="00B21571"/>
    <w:rsid w:val="00B2172B"/>
    <w:rsid w:val="00B241CA"/>
    <w:rsid w:val="00B2750C"/>
    <w:rsid w:val="00B311F0"/>
    <w:rsid w:val="00B677D6"/>
    <w:rsid w:val="00B805F3"/>
    <w:rsid w:val="00B86E12"/>
    <w:rsid w:val="00B872C5"/>
    <w:rsid w:val="00B87B97"/>
    <w:rsid w:val="00B904A6"/>
    <w:rsid w:val="00BA246C"/>
    <w:rsid w:val="00BA4E1E"/>
    <w:rsid w:val="00BA5786"/>
    <w:rsid w:val="00BA5DC3"/>
    <w:rsid w:val="00BB73B1"/>
    <w:rsid w:val="00BC0BD0"/>
    <w:rsid w:val="00BC27D5"/>
    <w:rsid w:val="00BC33B7"/>
    <w:rsid w:val="00BC52A4"/>
    <w:rsid w:val="00BD1C60"/>
    <w:rsid w:val="00BD2317"/>
    <w:rsid w:val="00BD6A7B"/>
    <w:rsid w:val="00BD6F32"/>
    <w:rsid w:val="00BE7516"/>
    <w:rsid w:val="00BF6A79"/>
    <w:rsid w:val="00BF7283"/>
    <w:rsid w:val="00C2219A"/>
    <w:rsid w:val="00C42473"/>
    <w:rsid w:val="00C42D66"/>
    <w:rsid w:val="00C54830"/>
    <w:rsid w:val="00C56060"/>
    <w:rsid w:val="00C6442D"/>
    <w:rsid w:val="00C73D8C"/>
    <w:rsid w:val="00C7728C"/>
    <w:rsid w:val="00C83477"/>
    <w:rsid w:val="00C9259E"/>
    <w:rsid w:val="00CC6756"/>
    <w:rsid w:val="00CD020B"/>
    <w:rsid w:val="00CE32F0"/>
    <w:rsid w:val="00CE5512"/>
    <w:rsid w:val="00CF1B76"/>
    <w:rsid w:val="00D23319"/>
    <w:rsid w:val="00D242F2"/>
    <w:rsid w:val="00D261DE"/>
    <w:rsid w:val="00D26DB0"/>
    <w:rsid w:val="00D33277"/>
    <w:rsid w:val="00D33997"/>
    <w:rsid w:val="00D33C4E"/>
    <w:rsid w:val="00D44AE0"/>
    <w:rsid w:val="00D6690D"/>
    <w:rsid w:val="00D706E2"/>
    <w:rsid w:val="00D83EF7"/>
    <w:rsid w:val="00D9603E"/>
    <w:rsid w:val="00DA1405"/>
    <w:rsid w:val="00DA59AB"/>
    <w:rsid w:val="00DA7BF7"/>
    <w:rsid w:val="00DB57F7"/>
    <w:rsid w:val="00DB63CA"/>
    <w:rsid w:val="00DC3AA3"/>
    <w:rsid w:val="00E069C2"/>
    <w:rsid w:val="00E10A99"/>
    <w:rsid w:val="00E21A77"/>
    <w:rsid w:val="00E30D13"/>
    <w:rsid w:val="00E367AE"/>
    <w:rsid w:val="00E3777A"/>
    <w:rsid w:val="00E6015F"/>
    <w:rsid w:val="00E619FA"/>
    <w:rsid w:val="00E659BE"/>
    <w:rsid w:val="00E7278A"/>
    <w:rsid w:val="00E80740"/>
    <w:rsid w:val="00E927BA"/>
    <w:rsid w:val="00EA15AC"/>
    <w:rsid w:val="00EB0D5B"/>
    <w:rsid w:val="00EB5FB0"/>
    <w:rsid w:val="00EB7D09"/>
    <w:rsid w:val="00EC4227"/>
    <w:rsid w:val="00ED3C01"/>
    <w:rsid w:val="00ED40FB"/>
    <w:rsid w:val="00EF62D4"/>
    <w:rsid w:val="00F012CA"/>
    <w:rsid w:val="00F22829"/>
    <w:rsid w:val="00F47D86"/>
    <w:rsid w:val="00F74D55"/>
    <w:rsid w:val="00F8005C"/>
    <w:rsid w:val="00F81FC6"/>
    <w:rsid w:val="00F97B0C"/>
    <w:rsid w:val="00FC348D"/>
    <w:rsid w:val="00FC4C31"/>
    <w:rsid w:val="00FC6E32"/>
    <w:rsid w:val="00FC7B83"/>
    <w:rsid w:val="00FE4CD2"/>
    <w:rsid w:val="00FE7EF1"/>
    <w:rsid w:val="00FF6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51AC5C"/>
  <w15:docId w15:val="{D3BEA519-CE19-4C61-A407-E569C8CE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pPr>
      <w:jc w:val="center"/>
      <w:outlineLvl w:val="0"/>
    </w:pPr>
    <w:rPr>
      <w:rFonts w:ascii="Arial" w:hAnsi="Arial" w:cs="Arial"/>
      <w:b/>
      <w:bCs/>
    </w:rPr>
  </w:style>
  <w:style w:type="paragraph" w:styleId="Heading2">
    <w:name w:val="heading 2"/>
    <w:basedOn w:val="ListParagraph1"/>
    <w:next w:val="Normal"/>
    <w:link w:val="Heading2Char"/>
    <w:uiPriority w:val="9"/>
    <w:unhideWhenUsed/>
    <w:qFormat/>
    <w:pPr>
      <w:ind w:left="1800" w:hanging="360"/>
      <w:outlineLvl w:val="1"/>
    </w:pPr>
    <w:rPr>
      <w:rFonts w:ascii="Arial" w:hAnsi="Arial" w:cs="Arial"/>
      <w:b/>
    </w:rPr>
  </w:style>
  <w:style w:type="paragraph" w:styleId="Heading3">
    <w:name w:val="heading 3"/>
    <w:basedOn w:val="ListParagraph1"/>
    <w:next w:val="Normal"/>
    <w:link w:val="Heading3Char"/>
    <w:uiPriority w:val="9"/>
    <w:unhideWhenUsed/>
    <w:qFormat/>
    <w:pPr>
      <w:spacing w:line="480" w:lineRule="auto"/>
      <w:ind w:left="1800" w:hanging="360"/>
      <w:jc w:val="both"/>
      <w:outlineLvl w:val="2"/>
    </w:pPr>
    <w:rPr>
      <w:rFonts w:ascii="Arial" w:hAnsi="Arial" w:cs="Arial"/>
      <w:b/>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Arial" w:eastAsia="Calibri" w:hAnsi="Arial" w:cs="Arial"/>
      <w:b/>
      <w:bCs/>
    </w:rPr>
  </w:style>
  <w:style w:type="paragraph" w:customStyle="1" w:styleId="ListParagraph1">
    <w:name w:val="List Paragraph1"/>
    <w:basedOn w:val="Normal"/>
    <w:link w:val="ListParagraphChar"/>
    <w:uiPriority w:val="34"/>
    <w:qFormat/>
    <w:pPr>
      <w:ind w:left="720"/>
      <w:contextualSpacing/>
    </w:pPr>
  </w:style>
  <w:style w:type="character" w:customStyle="1" w:styleId="ListParagraphChar">
    <w:name w:val="List Paragraph Char"/>
    <w:basedOn w:val="DefaultParagraphFont"/>
    <w:link w:val="ListParagraph1"/>
    <w:uiPriority w:val="34"/>
    <w:qFormat/>
  </w:style>
  <w:style w:type="character" w:customStyle="1" w:styleId="Heading2Char">
    <w:name w:val="Heading 2 Char"/>
    <w:basedOn w:val="DefaultParagraphFont"/>
    <w:link w:val="Heading2"/>
    <w:uiPriority w:val="9"/>
    <w:qFormat/>
    <w:rPr>
      <w:rFonts w:ascii="Arial" w:hAnsi="Arial" w:cs="Arial"/>
      <w:b/>
    </w:rPr>
  </w:style>
  <w:style w:type="character" w:customStyle="1" w:styleId="Heading3Char">
    <w:name w:val="Heading 3 Char"/>
    <w:basedOn w:val="DefaultParagraphFont"/>
    <w:link w:val="Heading3"/>
    <w:uiPriority w:val="9"/>
    <w:qFormat/>
    <w:rPr>
      <w:rFonts w:ascii="Arial" w:hAnsi="Arial" w:cs="Arial"/>
      <w:b/>
    </w:rPr>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rPr>
  </w:style>
  <w:style w:type="character" w:customStyle="1" w:styleId="BodyTextChar">
    <w:name w:val="Body Text Char"/>
    <w:basedOn w:val="DefaultParagraphFont"/>
    <w:link w:val="BodyText"/>
    <w:uiPriority w:val="1"/>
    <w:qFormat/>
    <w:rPr>
      <w:rFonts w:ascii="Arial" w:eastAsia="Arial" w:hAnsi="Arial" w:cs="Arial"/>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customStyle="1" w:styleId="FooterChar">
    <w:name w:val="Footer Char"/>
    <w:basedOn w:val="DefaultParagraphFont"/>
    <w:link w:val="Footer"/>
    <w:uiPriority w:val="99"/>
    <w:qFormat/>
  </w:style>
  <w:style w:type="paragraph" w:styleId="Header">
    <w:name w:val="header"/>
    <w:aliases w:val="5. Header,page-number"/>
    <w:basedOn w:val="Normal"/>
    <w:link w:val="HeaderChar"/>
    <w:uiPriority w:val="99"/>
    <w:unhideWhenUsed/>
    <w:qFormat/>
    <w:pPr>
      <w:tabs>
        <w:tab w:val="center" w:pos="4680"/>
        <w:tab w:val="right" w:pos="9360"/>
      </w:tabs>
      <w:spacing w:after="0" w:line="240" w:lineRule="auto"/>
    </w:pPr>
  </w:style>
  <w:style w:type="character" w:customStyle="1" w:styleId="HeaderChar">
    <w:name w:val="Header Char"/>
    <w:aliases w:val="5. Header Char,page-number Char"/>
    <w:basedOn w:val="DefaultParagraphFont"/>
    <w:link w:val="Header"/>
    <w:uiPriority w:val="99"/>
    <w:qFormat/>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paragraph" w:styleId="TOC1">
    <w:name w:val="toc 1"/>
    <w:basedOn w:val="Normal"/>
    <w:next w:val="Normal"/>
    <w:uiPriority w:val="39"/>
    <w:unhideWhenUsed/>
    <w:qFormat/>
    <w:pPr>
      <w:tabs>
        <w:tab w:val="left" w:pos="567"/>
        <w:tab w:val="right" w:leader="dot" w:pos="7938"/>
      </w:tabs>
      <w:spacing w:after="100" w:line="360" w:lineRule="auto"/>
    </w:pPr>
  </w:style>
  <w:style w:type="paragraph" w:styleId="TOC2">
    <w:name w:val="toc 2"/>
    <w:basedOn w:val="Normal"/>
    <w:next w:val="Normal"/>
    <w:uiPriority w:val="39"/>
    <w:unhideWhenUsed/>
    <w:qFormat/>
    <w:pPr>
      <w:tabs>
        <w:tab w:val="left" w:pos="660"/>
        <w:tab w:val="right" w:leader="dot" w:pos="7938"/>
      </w:tabs>
      <w:spacing w:after="100" w:line="480" w:lineRule="auto"/>
      <w:ind w:left="220"/>
    </w:pPr>
  </w:style>
  <w:style w:type="paragraph" w:styleId="TOC3">
    <w:name w:val="toc 3"/>
    <w:basedOn w:val="Normal"/>
    <w:next w:val="Normal"/>
    <w:uiPriority w:val="39"/>
    <w:unhideWhenUsed/>
    <w:qFormat/>
    <w:pPr>
      <w:tabs>
        <w:tab w:val="left" w:pos="880"/>
        <w:tab w:val="right" w:leader="dot" w:pos="7938"/>
      </w:tabs>
      <w:spacing w:after="100" w:line="480" w:lineRule="auto"/>
      <w:ind w:left="440"/>
    </w:pPr>
  </w:style>
  <w:style w:type="character" w:styleId="FollowedHyperlink">
    <w:name w:val="FollowedHyperlink"/>
    <w:basedOn w:val="DefaultParagraphFont"/>
    <w:uiPriority w:val="99"/>
    <w:unhideWhenUsed/>
    <w:qFormat/>
    <w:rPr>
      <w:color w:val="800080" w:themeColor="followedHyperlink"/>
      <w:u w:val="single"/>
    </w:r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PSMT" w:hAnsi="TimesNewRomanPSMT" w:hint="default"/>
      <w:color w:val="000000"/>
      <w:sz w:val="24"/>
      <w:szCs w:val="24"/>
    </w:rPr>
  </w:style>
  <w:style w:type="character" w:customStyle="1" w:styleId="fontstyle21">
    <w:name w:val="fontstyle21"/>
    <w:basedOn w:val="DefaultParagraphFont"/>
    <w:qFormat/>
    <w:rPr>
      <w:rFonts w:ascii="Times New Roman" w:hAnsi="Times New Roman" w:cs="Times New Roman" w:hint="default"/>
      <w:i/>
      <w:iCs/>
      <w:color w:val="000000"/>
      <w:sz w:val="24"/>
      <w:szCs w:val="24"/>
    </w:rPr>
  </w:style>
  <w:style w:type="character" w:customStyle="1" w:styleId="PlaceholderText1">
    <w:name w:val="Placeholder Text1"/>
    <w:basedOn w:val="DefaultParagraphFont"/>
    <w:uiPriority w:val="99"/>
    <w:semiHidden/>
    <w:qFormat/>
    <w:rPr>
      <w:color w:val="808080"/>
    </w:rPr>
  </w:style>
  <w:style w:type="paragraph" w:customStyle="1" w:styleId="Heading1BAB">
    <w:name w:val="Heading 1 BAB"/>
    <w:basedOn w:val="Heading1"/>
    <w:next w:val="Heading1"/>
    <w:link w:val="Heading1BABChar"/>
    <w:qFormat/>
    <w:pPr>
      <w:tabs>
        <w:tab w:val="left" w:pos="720"/>
      </w:tabs>
      <w:ind w:left="720" w:hanging="720"/>
    </w:pPr>
  </w:style>
  <w:style w:type="character" w:customStyle="1" w:styleId="Heading1BABChar">
    <w:name w:val="Heading 1 BAB Char"/>
    <w:basedOn w:val="Heading1Char"/>
    <w:link w:val="Heading1BAB"/>
    <w:qFormat/>
    <w:rPr>
      <w:rFonts w:ascii="Arial" w:eastAsia="Calibri" w:hAnsi="Arial" w:cs="Arial"/>
      <w:b/>
      <w:bCs/>
    </w:rPr>
  </w:style>
  <w:style w:type="paragraph" w:customStyle="1" w:styleId="Heading2BAB2">
    <w:name w:val="Heading 2 BAB 2"/>
    <w:basedOn w:val="Heading2"/>
    <w:next w:val="Heading2"/>
    <w:link w:val="Heading2BAB2Char"/>
    <w:qFormat/>
    <w:pPr>
      <w:spacing w:line="480" w:lineRule="auto"/>
      <w:ind w:left="1080"/>
      <w:jc w:val="both"/>
    </w:pPr>
    <w:rPr>
      <w:color w:val="000000"/>
    </w:rPr>
  </w:style>
  <w:style w:type="character" w:customStyle="1" w:styleId="Heading2BAB2Char">
    <w:name w:val="Heading 2 BAB 2 Char"/>
    <w:basedOn w:val="ListParagraphChar"/>
    <w:link w:val="Heading2BAB2"/>
    <w:qFormat/>
    <w:rPr>
      <w:rFonts w:ascii="Arial" w:hAnsi="Arial" w:cs="Arial"/>
      <w:b/>
      <w:color w:val="000000"/>
    </w:rPr>
  </w:style>
  <w:style w:type="paragraph" w:customStyle="1" w:styleId="Bab3Heading2">
    <w:name w:val="Bab 3 Heading 2"/>
    <w:basedOn w:val="Heading2"/>
    <w:next w:val="Heading2"/>
    <w:link w:val="Bab3Heading2Char"/>
    <w:qFormat/>
    <w:pPr>
      <w:spacing w:line="480" w:lineRule="auto"/>
      <w:ind w:left="360"/>
      <w:jc w:val="both"/>
    </w:pPr>
    <w:rPr>
      <w:rFonts w:eastAsia="Arial"/>
      <w:color w:val="000000"/>
    </w:rPr>
  </w:style>
  <w:style w:type="character" w:customStyle="1" w:styleId="Bab3Heading2Char">
    <w:name w:val="Bab 3 Heading 2 Char"/>
    <w:basedOn w:val="ListParagraphChar"/>
    <w:link w:val="Bab3Heading2"/>
    <w:qFormat/>
    <w:rPr>
      <w:rFonts w:ascii="Arial" w:eastAsia="Arial" w:hAnsi="Arial" w:cs="Arial"/>
      <w:b/>
      <w:color w:val="000000"/>
      <w:sz w:val="22"/>
      <w:szCs w:val="22"/>
    </w:rPr>
  </w:style>
  <w:style w:type="paragraph" w:customStyle="1" w:styleId="TOCHeading1">
    <w:name w:val="TOC Heading1"/>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table" w:customStyle="1" w:styleId="Style39">
    <w:name w:val="_Style 39"/>
    <w:basedOn w:val="TableNormal"/>
    <w:qFormat/>
    <w:pPr>
      <w:spacing w:after="0" w:line="240" w:lineRule="auto"/>
    </w:pPr>
    <w:tblPr/>
  </w:style>
  <w:style w:type="table" w:customStyle="1" w:styleId="Style40">
    <w:name w:val="_Style 40"/>
    <w:basedOn w:val="TableNormal"/>
    <w:qFormat/>
    <w:pPr>
      <w:spacing w:after="0" w:line="240" w:lineRule="auto"/>
    </w:pPr>
    <w:tblPr/>
  </w:style>
  <w:style w:type="table" w:customStyle="1" w:styleId="Style41">
    <w:name w:val="_Style 41"/>
    <w:basedOn w:val="TableNormal"/>
    <w:qFormat/>
    <w:pPr>
      <w:spacing w:after="0" w:line="240" w:lineRule="auto"/>
    </w:pPr>
    <w:tblPr/>
  </w:style>
  <w:style w:type="table" w:customStyle="1" w:styleId="Style42">
    <w:name w:val="_Style 42"/>
    <w:basedOn w:val="TableNormal"/>
    <w:qFormat/>
    <w:pPr>
      <w:spacing w:after="0" w:line="240" w:lineRule="auto"/>
    </w:pPr>
    <w:tblPr/>
  </w:style>
  <w:style w:type="table" w:customStyle="1" w:styleId="Style43">
    <w:name w:val="_Style 43"/>
    <w:basedOn w:val="TableNormal"/>
    <w:qFormat/>
    <w:pPr>
      <w:spacing w:after="0" w:line="240" w:lineRule="auto"/>
    </w:pPr>
    <w:tblPr/>
  </w:style>
  <w:style w:type="paragraph" w:customStyle="1" w:styleId="TableParagraph">
    <w:name w:val="Table Paragraph"/>
    <w:basedOn w:val="Normal"/>
    <w:uiPriority w:val="1"/>
    <w:qFormat/>
    <w:pPr>
      <w:widowControl w:val="0"/>
      <w:autoSpaceDE w:val="0"/>
      <w:autoSpaceDN w:val="0"/>
      <w:spacing w:before="35" w:after="0" w:line="240" w:lineRule="auto"/>
      <w:ind w:right="100"/>
      <w:jc w:val="right"/>
    </w:pPr>
    <w:rPr>
      <w:rFonts w:ascii="Arial" w:eastAsia="Arial" w:hAnsi="Arial" w:cs="Arial"/>
    </w:rPr>
  </w:style>
  <w:style w:type="character" w:customStyle="1" w:styleId="y2iqfc">
    <w:name w:val="y2iqfc"/>
    <w:basedOn w:val="DefaultParagraphFont"/>
    <w:qFormat/>
  </w:style>
  <w:style w:type="paragraph" w:customStyle="1" w:styleId="HEADING1BAB0">
    <w:name w:val="HEADING 1 BAB"/>
    <w:basedOn w:val="Heading1"/>
    <w:next w:val="Heading1"/>
    <w:link w:val="HEADING1BABChar0"/>
    <w:qFormat/>
    <w:pPr>
      <w:spacing w:after="0" w:line="480" w:lineRule="auto"/>
      <w:ind w:left="360"/>
    </w:pPr>
    <w:rPr>
      <w:rFonts w:eastAsia="Arial"/>
      <w:color w:val="000000"/>
    </w:rPr>
  </w:style>
  <w:style w:type="character" w:customStyle="1" w:styleId="HEADING1BABChar0">
    <w:name w:val="HEADING 1 BAB Char"/>
    <w:basedOn w:val="DefaultParagraphFont"/>
    <w:link w:val="HEADING1BAB0"/>
    <w:qFormat/>
    <w:rPr>
      <w:rFonts w:ascii="Arial" w:eastAsia="Arial" w:hAnsi="Arial" w:cs="Arial"/>
      <w:b/>
      <w:bCs/>
      <w:color w:val="000000"/>
    </w:rPr>
  </w:style>
  <w:style w:type="paragraph" w:customStyle="1" w:styleId="Bab2Heading2">
    <w:name w:val="Bab 2 Heading 2"/>
    <w:basedOn w:val="Heading2"/>
    <w:next w:val="Heading2"/>
    <w:link w:val="Bab2Heading2Char"/>
    <w:qFormat/>
    <w:pPr>
      <w:spacing w:after="0" w:line="480" w:lineRule="auto"/>
      <w:ind w:left="360"/>
      <w:jc w:val="both"/>
    </w:pPr>
    <w:rPr>
      <w:rFonts w:eastAsia="Arial"/>
      <w:color w:val="000000"/>
    </w:rPr>
  </w:style>
  <w:style w:type="character" w:customStyle="1" w:styleId="Bab2Heading2Char">
    <w:name w:val="Bab 2 Heading 2 Char"/>
    <w:basedOn w:val="DefaultParagraphFont"/>
    <w:link w:val="Bab2Heading2"/>
    <w:qFormat/>
    <w:rPr>
      <w:rFonts w:ascii="Arial" w:eastAsia="Arial" w:hAnsi="Arial" w:cs="Arial"/>
      <w:b/>
      <w:color w:val="000000"/>
      <w:sz w:val="22"/>
      <w:szCs w:val="22"/>
    </w:rPr>
  </w:style>
  <w:style w:type="paragraph" w:customStyle="1" w:styleId="Bab4Heading2">
    <w:name w:val="Bab 4 Heading 2"/>
    <w:basedOn w:val="Heading2"/>
    <w:next w:val="Heading2"/>
    <w:link w:val="Bab4Heading2Char"/>
    <w:qFormat/>
    <w:pPr>
      <w:spacing w:line="480" w:lineRule="auto"/>
      <w:ind w:left="720"/>
      <w:jc w:val="both"/>
    </w:pPr>
    <w:rPr>
      <w:rFonts w:eastAsia="Arial"/>
      <w:color w:val="000000"/>
    </w:rPr>
  </w:style>
  <w:style w:type="character" w:customStyle="1" w:styleId="Bab4Heading2Char">
    <w:name w:val="Bab 4 Heading 2 Char"/>
    <w:basedOn w:val="ListParagraphChar"/>
    <w:link w:val="Bab4Heading2"/>
    <w:qFormat/>
    <w:rPr>
      <w:rFonts w:ascii="Arial" w:eastAsia="Arial" w:hAnsi="Arial" w:cs="Arial"/>
      <w:b/>
      <w:color w:val="000000"/>
      <w:sz w:val="22"/>
      <w:szCs w:val="22"/>
    </w:rPr>
  </w:style>
  <w:style w:type="paragraph" w:customStyle="1" w:styleId="Bab5Heading2">
    <w:name w:val="Bab 5 Heading 2"/>
    <w:basedOn w:val="Heading2"/>
    <w:next w:val="Heading2"/>
    <w:link w:val="Bab5Heading2Char"/>
    <w:qFormat/>
    <w:pPr>
      <w:spacing w:line="480" w:lineRule="auto"/>
      <w:ind w:left="720"/>
    </w:pPr>
  </w:style>
  <w:style w:type="character" w:customStyle="1" w:styleId="Bab5Heading2Char">
    <w:name w:val="Bab 5 Heading 2 Char"/>
    <w:basedOn w:val="ListParagraphChar"/>
    <w:link w:val="Bab5Heading2"/>
    <w:qFormat/>
    <w:rPr>
      <w:rFonts w:ascii="Arial" w:hAnsi="Arial" w:cs="Arial"/>
      <w:b/>
      <w:sz w:val="22"/>
      <w:szCs w:val="22"/>
    </w:rPr>
  </w:style>
  <w:style w:type="character" w:customStyle="1" w:styleId="hgkelc">
    <w:name w:val="hgkelc"/>
    <w:basedOn w:val="DefaultParagraphFont"/>
    <w:qFormat/>
  </w:style>
  <w:style w:type="paragraph" w:styleId="ListParagraph">
    <w:name w:val="List Paragraph"/>
    <w:basedOn w:val="Normal"/>
    <w:uiPriority w:val="99"/>
    <w:unhideWhenUsed/>
    <w:rsid w:val="00FE4CD2"/>
    <w:pPr>
      <w:ind w:left="720"/>
      <w:contextualSpacing/>
    </w:pPr>
  </w:style>
  <w:style w:type="character" w:styleId="PlaceholderText">
    <w:name w:val="Placeholder Text"/>
    <w:basedOn w:val="DefaultParagraphFont"/>
    <w:uiPriority w:val="99"/>
    <w:unhideWhenUsed/>
    <w:rsid w:val="00DB57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66762">
      <w:bodyDiv w:val="1"/>
      <w:marLeft w:val="0"/>
      <w:marRight w:val="0"/>
      <w:marTop w:val="0"/>
      <w:marBottom w:val="0"/>
      <w:divBdr>
        <w:top w:val="none" w:sz="0" w:space="0" w:color="auto"/>
        <w:left w:val="none" w:sz="0" w:space="0" w:color="auto"/>
        <w:bottom w:val="none" w:sz="0" w:space="0" w:color="auto"/>
        <w:right w:val="none" w:sz="0" w:space="0" w:color="auto"/>
      </w:divBdr>
    </w:div>
    <w:div w:id="332803071">
      <w:bodyDiv w:val="1"/>
      <w:marLeft w:val="0"/>
      <w:marRight w:val="0"/>
      <w:marTop w:val="0"/>
      <w:marBottom w:val="0"/>
      <w:divBdr>
        <w:top w:val="none" w:sz="0" w:space="0" w:color="auto"/>
        <w:left w:val="none" w:sz="0" w:space="0" w:color="auto"/>
        <w:bottom w:val="none" w:sz="0" w:space="0" w:color="auto"/>
        <w:right w:val="none" w:sz="0" w:space="0" w:color="auto"/>
      </w:divBdr>
    </w:div>
    <w:div w:id="686177257">
      <w:bodyDiv w:val="1"/>
      <w:marLeft w:val="0"/>
      <w:marRight w:val="0"/>
      <w:marTop w:val="0"/>
      <w:marBottom w:val="0"/>
      <w:divBdr>
        <w:top w:val="none" w:sz="0" w:space="0" w:color="auto"/>
        <w:left w:val="none" w:sz="0" w:space="0" w:color="auto"/>
        <w:bottom w:val="none" w:sz="0" w:space="0" w:color="auto"/>
        <w:right w:val="none" w:sz="0" w:space="0" w:color="auto"/>
      </w:divBdr>
    </w:div>
    <w:div w:id="949553910">
      <w:bodyDiv w:val="1"/>
      <w:marLeft w:val="0"/>
      <w:marRight w:val="0"/>
      <w:marTop w:val="0"/>
      <w:marBottom w:val="0"/>
      <w:divBdr>
        <w:top w:val="none" w:sz="0" w:space="0" w:color="auto"/>
        <w:left w:val="none" w:sz="0" w:space="0" w:color="auto"/>
        <w:bottom w:val="none" w:sz="0" w:space="0" w:color="auto"/>
        <w:right w:val="none" w:sz="0" w:space="0" w:color="auto"/>
      </w:divBdr>
    </w:div>
    <w:div w:id="1433015090">
      <w:bodyDiv w:val="1"/>
      <w:marLeft w:val="0"/>
      <w:marRight w:val="0"/>
      <w:marTop w:val="0"/>
      <w:marBottom w:val="0"/>
      <w:divBdr>
        <w:top w:val="none" w:sz="0" w:space="0" w:color="auto"/>
        <w:left w:val="none" w:sz="0" w:space="0" w:color="auto"/>
        <w:bottom w:val="none" w:sz="0" w:space="0" w:color="auto"/>
        <w:right w:val="none" w:sz="0" w:space="0" w:color="auto"/>
      </w:divBdr>
    </w:div>
    <w:div w:id="1679691267">
      <w:bodyDiv w:val="1"/>
      <w:marLeft w:val="0"/>
      <w:marRight w:val="0"/>
      <w:marTop w:val="0"/>
      <w:marBottom w:val="0"/>
      <w:divBdr>
        <w:top w:val="none" w:sz="0" w:space="0" w:color="auto"/>
        <w:left w:val="none" w:sz="0" w:space="0" w:color="auto"/>
        <w:bottom w:val="none" w:sz="0" w:space="0" w:color="auto"/>
        <w:right w:val="none" w:sz="0" w:space="0" w:color="auto"/>
      </w:divBdr>
    </w:div>
    <w:div w:id="1781947077">
      <w:bodyDiv w:val="1"/>
      <w:marLeft w:val="0"/>
      <w:marRight w:val="0"/>
      <w:marTop w:val="0"/>
      <w:marBottom w:val="0"/>
      <w:divBdr>
        <w:top w:val="none" w:sz="0" w:space="0" w:color="auto"/>
        <w:left w:val="none" w:sz="0" w:space="0" w:color="auto"/>
        <w:bottom w:val="none" w:sz="0" w:space="0" w:color="auto"/>
        <w:right w:val="none" w:sz="0" w:space="0" w:color="auto"/>
      </w:divBdr>
    </w:div>
    <w:div w:id="1913998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x.co.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idx.co.id" TargetMode="External"/><Relationship Id="rId4" Type="http://schemas.openxmlformats.org/officeDocument/2006/relationships/styles" Target="styles.xml"/><Relationship Id="rId9" Type="http://schemas.openxmlformats.org/officeDocument/2006/relationships/hyperlink" Target="http://prosiding.uika-bogor.ac.id/index.php/ICMSME/$$$call$$$/grid/issues/future-issue-grid/edit-issue?issueId=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1BF14-A5F8-4688-BBB4-DE0A1C88D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5604</Words>
  <Characters>31947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Ai Koyyimah</cp:lastModifiedBy>
  <cp:revision>35</cp:revision>
  <cp:lastPrinted>2022-03-30T14:28:00Z</cp:lastPrinted>
  <dcterms:created xsi:type="dcterms:W3CDTF">2023-01-13T12:01:00Z</dcterms:created>
  <dcterms:modified xsi:type="dcterms:W3CDTF">2023-05-24T01:14:00Z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02F7C560DC45BC3729314E63309E4EF9</vt:lpwstr>
  </property>
  <property fmtid="{D5CDD505-2E9C-101B-9397-08002B2CF9AE}" pid="3" name="KSOProductBuildVer">
    <vt:lpwstr>2052-11.24.6</vt:lpwstr>
  </property>
</Properties>
</file>